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0166C">
        <w:rPr>
          <w:rFonts w:ascii="Arial" w:hAnsi="Arial" w:cs="Arial"/>
          <w:b/>
          <w:bCs/>
          <w:iCs/>
          <w:sz w:val="26"/>
          <w:szCs w:val="22"/>
          <w:lang w:val="es-CR"/>
        </w:rPr>
        <w:t>475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7DF9" w:rsidRPr="008E0D8C" w:rsidRDefault="001A7DF9" w:rsidP="00CB3836">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CB3836">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10166C" w:rsidRDefault="00FF209C" w:rsidP="005F1766">
            <w:pPr>
              <w:ind w:left="-56" w:right="51"/>
              <w:jc w:val="both"/>
              <w:rPr>
                <w:rFonts w:ascii="Arial" w:hAnsi="Arial" w:cs="Arial"/>
                <w:b/>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CB3836">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CB3836">
              <w:rPr>
                <w:rFonts w:ascii="Arial" w:eastAsia="Calibri" w:hAnsi="Arial" w:cs="Arial"/>
                <w:b/>
                <w:sz w:val="22"/>
                <w:szCs w:val="22"/>
              </w:rPr>
              <w:t>2</w:t>
            </w:r>
            <w:r w:rsidR="005F1766">
              <w:rPr>
                <w:rFonts w:ascii="Arial" w:eastAsia="Calibri" w:hAnsi="Arial" w:cs="Arial"/>
                <w:b/>
                <w:sz w:val="22"/>
                <w:szCs w:val="22"/>
              </w:rPr>
              <w:t>3</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w:t>
            </w:r>
            <w:r w:rsidR="00CB3836">
              <w:rPr>
                <w:rFonts w:ascii="Arial" w:eastAsia="Calibri" w:hAnsi="Arial" w:cs="Arial"/>
                <w:b/>
                <w:sz w:val="22"/>
                <w:szCs w:val="22"/>
              </w:rPr>
              <w:t>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10166C" w:rsidRPr="0010166C">
              <w:rPr>
                <w:rFonts w:ascii="Arial" w:hAnsi="Arial" w:cs="Arial"/>
                <w:b/>
                <w:sz w:val="22"/>
                <w:szCs w:val="22"/>
                <w:lang w:val="es-CR"/>
              </w:rPr>
              <w:t>Creación de un protocolo para la atención del personal, por la muerte de un compañero o compañera</w:t>
            </w:r>
            <w:r w:rsidR="00D53552">
              <w:rPr>
                <w:rFonts w:ascii="Arial" w:hAnsi="Arial" w:cs="Arial"/>
                <w:b/>
                <w:sz w:val="22"/>
                <w:szCs w:val="22"/>
                <w:lang w:val="es-CR"/>
              </w:rPr>
              <w:t xml:space="preserve"> de trabajo</w:t>
            </w:r>
            <w:bookmarkStart w:id="0" w:name="_GoBack"/>
            <w:bookmarkEnd w:id="0"/>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10166C" w:rsidRPr="0010166C" w:rsidRDefault="0010166C" w:rsidP="0010166C">
      <w:pPr>
        <w:tabs>
          <w:tab w:val="left" w:pos="3070"/>
        </w:tabs>
        <w:contextualSpacing/>
        <w:jc w:val="both"/>
        <w:outlineLvl w:val="0"/>
        <w:rPr>
          <w:rFonts w:ascii="Arial" w:hAnsi="Arial" w:cs="Arial"/>
          <w:b/>
          <w:lang w:val="es-CR"/>
        </w:rPr>
      </w:pPr>
      <w:r w:rsidRPr="0010166C">
        <w:rPr>
          <w:rFonts w:ascii="Arial" w:hAnsi="Arial" w:cs="Arial"/>
          <w:b/>
          <w:lang w:val="es-CR"/>
        </w:rPr>
        <w:t>RESULTANDO QUE:</w:t>
      </w:r>
    </w:p>
    <w:p w:rsidR="0010166C" w:rsidRPr="0010166C" w:rsidRDefault="0010166C" w:rsidP="0010166C">
      <w:pPr>
        <w:tabs>
          <w:tab w:val="left" w:pos="3070"/>
        </w:tabs>
        <w:contextualSpacing/>
        <w:jc w:val="both"/>
        <w:outlineLvl w:val="0"/>
        <w:rPr>
          <w:rFonts w:ascii="Arial" w:hAnsi="Arial" w:cs="Arial"/>
          <w:b/>
          <w:lang w:val="es-CR"/>
        </w:rPr>
      </w:pPr>
    </w:p>
    <w:p w:rsidR="0010166C" w:rsidRPr="0010166C" w:rsidRDefault="0010166C" w:rsidP="0010166C">
      <w:pPr>
        <w:numPr>
          <w:ilvl w:val="0"/>
          <w:numId w:val="13"/>
        </w:numPr>
        <w:ind w:left="360"/>
        <w:jc w:val="both"/>
        <w:rPr>
          <w:rFonts w:ascii="Arial" w:hAnsi="Arial" w:cs="Arial"/>
          <w:lang w:val="es-CR"/>
        </w:rPr>
      </w:pPr>
      <w:r w:rsidRPr="0010166C">
        <w:rPr>
          <w:rFonts w:ascii="Arial" w:hAnsi="Arial" w:cs="Arial"/>
          <w:lang w:val="es-CR"/>
        </w:rPr>
        <w:t>El Modelo Académico aprobado por el III CONGRESO INSTITUCIONAL aprobó, como eje transversal, el siguiente:</w:t>
      </w:r>
    </w:p>
    <w:p w:rsidR="0010166C" w:rsidRPr="0010166C" w:rsidRDefault="0010166C" w:rsidP="0010166C">
      <w:pPr>
        <w:jc w:val="both"/>
        <w:rPr>
          <w:rFonts w:ascii="Arial" w:hAnsi="Arial" w:cs="Arial"/>
          <w:lang w:val="es-CR"/>
        </w:rPr>
      </w:pPr>
    </w:p>
    <w:p w:rsidR="0010166C" w:rsidRPr="0010166C" w:rsidRDefault="0010166C" w:rsidP="0010166C">
      <w:pPr>
        <w:autoSpaceDE w:val="0"/>
        <w:autoSpaceDN w:val="0"/>
        <w:adjustRightInd w:val="0"/>
        <w:ind w:left="709"/>
        <w:jc w:val="both"/>
        <w:rPr>
          <w:rFonts w:ascii="Arial" w:hAnsi="Arial" w:cs="Arial"/>
          <w:i/>
          <w:sz w:val="22"/>
          <w:szCs w:val="22"/>
          <w:lang w:val="es-CR" w:eastAsia="es-CR"/>
        </w:rPr>
      </w:pPr>
      <w:r w:rsidRPr="0010166C">
        <w:rPr>
          <w:rFonts w:ascii="Arial" w:hAnsi="Arial" w:cs="Arial"/>
          <w:i/>
          <w:sz w:val="22"/>
          <w:szCs w:val="22"/>
          <w:lang w:val="es-CR" w:eastAsia="es-CR"/>
        </w:rPr>
        <w:t xml:space="preserve">El ser humano como principio y fin de la acción institucional. </w:t>
      </w:r>
    </w:p>
    <w:p w:rsidR="0010166C" w:rsidRPr="0010166C" w:rsidRDefault="0010166C" w:rsidP="0010166C">
      <w:pPr>
        <w:jc w:val="both"/>
        <w:rPr>
          <w:rFonts w:ascii="Arial" w:hAnsi="Arial" w:cs="Arial"/>
          <w:lang w:val="es-CR"/>
        </w:rPr>
      </w:pPr>
    </w:p>
    <w:p w:rsidR="0010166C" w:rsidRPr="0010166C" w:rsidRDefault="0010166C" w:rsidP="0010166C">
      <w:pPr>
        <w:numPr>
          <w:ilvl w:val="0"/>
          <w:numId w:val="13"/>
        </w:numPr>
        <w:ind w:left="360"/>
        <w:jc w:val="both"/>
        <w:rPr>
          <w:rFonts w:ascii="Arial" w:hAnsi="Arial" w:cs="Arial"/>
          <w:lang w:val="es-CR"/>
        </w:rPr>
      </w:pPr>
      <w:r w:rsidRPr="0010166C">
        <w:rPr>
          <w:rFonts w:ascii="Arial" w:hAnsi="Arial" w:cs="Arial"/>
          <w:lang w:val="es-CR"/>
        </w:rPr>
        <w:t>La Convención Colectiva y sus Reformas establece:</w:t>
      </w:r>
    </w:p>
    <w:p w:rsidR="0010166C" w:rsidRPr="0010166C" w:rsidRDefault="0010166C" w:rsidP="0010166C">
      <w:pPr>
        <w:ind w:left="357"/>
        <w:rPr>
          <w:rFonts w:ascii="Arial" w:hAnsi="Arial" w:cs="Arial"/>
          <w:i/>
          <w:sz w:val="22"/>
          <w:szCs w:val="22"/>
          <w:lang w:val="es-CR" w:eastAsia="es-CR"/>
        </w:rPr>
      </w:pPr>
    </w:p>
    <w:p w:rsidR="0010166C" w:rsidRPr="0010166C" w:rsidRDefault="0010166C" w:rsidP="0010166C">
      <w:pPr>
        <w:ind w:left="567" w:right="193"/>
        <w:rPr>
          <w:rFonts w:ascii="Arial" w:hAnsi="Arial" w:cs="Arial"/>
          <w:i/>
          <w:sz w:val="22"/>
          <w:szCs w:val="22"/>
          <w:lang w:val="es-CR" w:eastAsia="es-CR"/>
        </w:rPr>
      </w:pPr>
      <w:r>
        <w:rPr>
          <w:rFonts w:ascii="Arial" w:hAnsi="Arial" w:cs="Arial"/>
          <w:i/>
          <w:sz w:val="22"/>
          <w:szCs w:val="22"/>
          <w:lang w:val="es-CR" w:eastAsia="es-CR"/>
        </w:rPr>
        <w:t>“</w:t>
      </w:r>
      <w:r w:rsidRPr="0010166C">
        <w:rPr>
          <w:rFonts w:ascii="Arial" w:hAnsi="Arial" w:cs="Arial"/>
          <w:i/>
          <w:sz w:val="22"/>
          <w:szCs w:val="22"/>
          <w:lang w:val="es-CR" w:eastAsia="es-CR"/>
        </w:rPr>
        <w:t xml:space="preserve">Artículo 99 </w:t>
      </w:r>
    </w:p>
    <w:p w:rsidR="0010166C" w:rsidRPr="0010166C" w:rsidRDefault="0010166C" w:rsidP="0010166C">
      <w:pPr>
        <w:ind w:left="567" w:right="193"/>
        <w:jc w:val="both"/>
        <w:rPr>
          <w:rFonts w:ascii="Arial" w:hAnsi="Arial" w:cs="Arial"/>
          <w:b/>
          <w:i/>
          <w:sz w:val="22"/>
          <w:szCs w:val="22"/>
          <w:lang w:val="es-CR" w:eastAsia="es-CR"/>
        </w:rPr>
      </w:pPr>
      <w:r w:rsidRPr="0010166C">
        <w:rPr>
          <w:rFonts w:ascii="Arial" w:hAnsi="Arial" w:cs="Arial"/>
          <w:i/>
          <w:sz w:val="22"/>
          <w:szCs w:val="22"/>
          <w:lang w:val="es-CR" w:eastAsia="es-CR"/>
        </w:rPr>
        <w:t xml:space="preserve">El Instituto, según lo establece el artículo 193 y subsiguientes del Código de Trabajo y Convenios Internacionales de la OIT, se compromete a adoptar las medidas necesarias </w:t>
      </w:r>
      <w:r w:rsidRPr="0010166C">
        <w:rPr>
          <w:rFonts w:ascii="Arial" w:hAnsi="Arial" w:cs="Arial"/>
          <w:b/>
          <w:i/>
          <w:sz w:val="22"/>
          <w:szCs w:val="22"/>
          <w:lang w:val="es-CR" w:eastAsia="es-CR"/>
        </w:rPr>
        <w:t>para proteger la vida y la salud de los trabajadores mientras presten sus servicios o durante el tiempo que permanezcan en los centros de trabajo a disposición de la Institución</w:t>
      </w:r>
      <w:r w:rsidRPr="0010166C">
        <w:rPr>
          <w:rFonts w:ascii="Arial" w:hAnsi="Arial" w:cs="Arial"/>
          <w:i/>
          <w:sz w:val="22"/>
          <w:szCs w:val="22"/>
          <w:lang w:val="es-CR" w:eastAsia="es-CR"/>
        </w:rPr>
        <w:t>. Además, hará los estudios del caso que permitan establecer en todos aquellos centros de trabajo los equipos necesarios para dar cumplimiento de las leyes y reglamentos de seguridad e higiene de trabajo</w:t>
      </w:r>
      <w:r>
        <w:rPr>
          <w:rFonts w:ascii="Arial" w:hAnsi="Arial" w:cs="Arial"/>
          <w:i/>
          <w:sz w:val="22"/>
          <w:szCs w:val="22"/>
          <w:lang w:val="es-CR" w:eastAsia="es-CR"/>
        </w:rPr>
        <w:t>”</w:t>
      </w:r>
      <w:r w:rsidRPr="0010166C">
        <w:rPr>
          <w:rFonts w:ascii="Arial" w:hAnsi="Arial" w:cs="Arial"/>
          <w:i/>
          <w:sz w:val="22"/>
          <w:szCs w:val="22"/>
          <w:lang w:val="es-CR" w:eastAsia="es-CR"/>
        </w:rPr>
        <w:t xml:space="preserve">. </w:t>
      </w:r>
      <w:r w:rsidRPr="0010166C">
        <w:rPr>
          <w:rFonts w:ascii="Arial" w:hAnsi="Arial" w:cs="Arial"/>
          <w:b/>
          <w:i/>
          <w:sz w:val="22"/>
          <w:szCs w:val="22"/>
          <w:lang w:val="es-CR" w:eastAsia="es-CR"/>
        </w:rPr>
        <w:t>(la negrita no es del original)</w:t>
      </w:r>
    </w:p>
    <w:p w:rsidR="0010166C" w:rsidRPr="0010166C" w:rsidRDefault="0010166C" w:rsidP="0010166C">
      <w:pPr>
        <w:ind w:left="357"/>
        <w:jc w:val="both"/>
        <w:rPr>
          <w:rFonts w:ascii="Arial" w:hAnsi="Arial" w:cs="Arial"/>
          <w:b/>
          <w:i/>
          <w:sz w:val="20"/>
          <w:szCs w:val="20"/>
          <w:lang w:val="es-CR" w:eastAsia="es-CR"/>
        </w:rPr>
      </w:pPr>
    </w:p>
    <w:p w:rsidR="0010166C" w:rsidRPr="0010166C" w:rsidRDefault="0010166C" w:rsidP="0010166C">
      <w:pPr>
        <w:numPr>
          <w:ilvl w:val="0"/>
          <w:numId w:val="13"/>
        </w:numPr>
        <w:ind w:left="360"/>
        <w:jc w:val="both"/>
        <w:rPr>
          <w:rFonts w:ascii="Arial" w:hAnsi="Arial" w:cs="Arial"/>
          <w:lang w:val="es-CR"/>
        </w:rPr>
      </w:pPr>
      <w:r w:rsidRPr="0010166C">
        <w:rPr>
          <w:rFonts w:ascii="Arial" w:hAnsi="Arial" w:cs="Arial"/>
          <w:lang w:val="es-CR"/>
        </w:rPr>
        <w:t xml:space="preserve">En la Sesión Ordinaria No. 3076 la </w:t>
      </w:r>
      <w:proofErr w:type="spellStart"/>
      <w:r w:rsidRPr="0010166C">
        <w:rPr>
          <w:rFonts w:ascii="Arial" w:hAnsi="Arial" w:cs="Arial"/>
          <w:lang w:val="es-CR"/>
        </w:rPr>
        <w:t>M.Sc</w:t>
      </w:r>
      <w:proofErr w:type="spellEnd"/>
      <w:r w:rsidRPr="0010166C">
        <w:rPr>
          <w:rFonts w:ascii="Arial" w:hAnsi="Arial" w:cs="Arial"/>
          <w:lang w:val="es-CR"/>
        </w:rPr>
        <w:t>. Ana Rosa Ruiz Fernández presentó una propuesta para la creación de un protocolo para la atención del personal por la muerte de un compañero o compañera, la que fue remitida a la Comisión de Planificación y Administración para el estudio y dictamen correspondiente.</w:t>
      </w:r>
    </w:p>
    <w:p w:rsidR="0010166C" w:rsidRPr="0010166C" w:rsidRDefault="0010166C" w:rsidP="0010166C">
      <w:pPr>
        <w:jc w:val="both"/>
        <w:rPr>
          <w:rFonts w:ascii="Arial" w:hAnsi="Arial" w:cs="Arial"/>
          <w:sz w:val="18"/>
          <w:szCs w:val="18"/>
          <w:lang w:val="es-CR"/>
        </w:rPr>
      </w:pPr>
    </w:p>
    <w:p w:rsidR="0010166C" w:rsidRPr="0010166C" w:rsidRDefault="0010166C" w:rsidP="0010166C">
      <w:pPr>
        <w:tabs>
          <w:tab w:val="left" w:pos="3070"/>
        </w:tabs>
        <w:contextualSpacing/>
        <w:jc w:val="both"/>
        <w:outlineLvl w:val="0"/>
        <w:rPr>
          <w:rFonts w:ascii="Arial" w:hAnsi="Arial" w:cs="Arial"/>
          <w:b/>
          <w:lang w:val="es-CR"/>
        </w:rPr>
      </w:pPr>
      <w:r w:rsidRPr="0010166C">
        <w:rPr>
          <w:rFonts w:ascii="Arial" w:hAnsi="Arial" w:cs="Arial"/>
          <w:b/>
          <w:lang w:val="es-CR"/>
        </w:rPr>
        <w:t>CONSIDERANDO QUE:</w:t>
      </w:r>
    </w:p>
    <w:p w:rsidR="0010166C" w:rsidRPr="0010166C" w:rsidRDefault="0010166C" w:rsidP="0010166C">
      <w:pPr>
        <w:ind w:left="360"/>
        <w:jc w:val="both"/>
        <w:rPr>
          <w:rFonts w:ascii="Arial" w:hAnsi="Arial" w:cs="Arial"/>
          <w:lang w:val="es-CR"/>
        </w:rPr>
      </w:pPr>
    </w:p>
    <w:p w:rsidR="0010166C" w:rsidRPr="0010166C" w:rsidRDefault="0010166C" w:rsidP="0010166C">
      <w:pPr>
        <w:numPr>
          <w:ilvl w:val="0"/>
          <w:numId w:val="38"/>
        </w:numPr>
        <w:ind w:left="322"/>
        <w:jc w:val="both"/>
        <w:rPr>
          <w:rFonts w:ascii="Arial" w:hAnsi="Arial" w:cs="Arial"/>
          <w:lang w:val="es-CR"/>
        </w:rPr>
      </w:pPr>
      <w:r w:rsidRPr="0010166C">
        <w:rPr>
          <w:rFonts w:ascii="Arial" w:hAnsi="Arial" w:cs="Arial"/>
          <w:lang w:val="es-CR"/>
        </w:rPr>
        <w:t xml:space="preserve">El personal del Instituto ha enfrentado, en diferentes ocasiones, la muerte de compañeros que estaban activos como funcionarios.  Algunas de las personas que fallecieron siendo trabajadores activos del Instituto son: </w:t>
      </w:r>
    </w:p>
    <w:p w:rsidR="0010166C" w:rsidRPr="0010166C" w:rsidRDefault="0010166C" w:rsidP="0010166C">
      <w:pPr>
        <w:ind w:left="1440"/>
        <w:jc w:val="both"/>
        <w:rPr>
          <w:rFonts w:ascii="Arial" w:hAnsi="Arial" w:cs="Arial"/>
          <w:lang w:val="es-CR"/>
        </w:rPr>
      </w:pPr>
    </w:p>
    <w:tbl>
      <w:tblPr>
        <w:tblW w:w="8212" w:type="dxa"/>
        <w:jc w:val="center"/>
        <w:tblLayout w:type="fixed"/>
        <w:tblCellMar>
          <w:left w:w="0" w:type="dxa"/>
          <w:right w:w="0" w:type="dxa"/>
        </w:tblCellMar>
        <w:tblLook w:val="04A0" w:firstRow="1" w:lastRow="0" w:firstColumn="1" w:lastColumn="0" w:noHBand="0" w:noVBand="1"/>
      </w:tblPr>
      <w:tblGrid>
        <w:gridCol w:w="3544"/>
        <w:gridCol w:w="4668"/>
      </w:tblGrid>
      <w:tr w:rsidR="0010166C" w:rsidRPr="0010166C" w:rsidTr="00291012">
        <w:trPr>
          <w:trHeight w:val="555"/>
          <w:tblHeader/>
          <w:jc w:val="center"/>
        </w:trPr>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0166C" w:rsidRPr="0010166C" w:rsidRDefault="0010166C" w:rsidP="0010166C">
            <w:pPr>
              <w:spacing w:before="120"/>
              <w:ind w:left="-8" w:firstLine="708"/>
              <w:rPr>
                <w:rFonts w:ascii="Arial" w:hAnsi="Arial" w:cs="Arial"/>
                <w:b/>
                <w:bCs/>
                <w:sz w:val="22"/>
                <w:szCs w:val="22"/>
                <w:lang w:val="es-CR" w:eastAsia="en-US"/>
              </w:rPr>
            </w:pPr>
            <w:r w:rsidRPr="0010166C">
              <w:rPr>
                <w:rFonts w:ascii="Arial" w:hAnsi="Arial" w:cs="Arial"/>
                <w:b/>
                <w:bCs/>
                <w:sz w:val="22"/>
                <w:szCs w:val="22"/>
                <w:lang w:val="es-CR"/>
              </w:rPr>
              <w:t>NOMBRE</w:t>
            </w:r>
          </w:p>
        </w:tc>
        <w:tc>
          <w:tcPr>
            <w:tcW w:w="46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0166C" w:rsidRPr="0010166C" w:rsidRDefault="0010166C" w:rsidP="0010166C">
            <w:pPr>
              <w:spacing w:before="120"/>
              <w:jc w:val="center"/>
              <w:rPr>
                <w:rFonts w:ascii="Arial" w:hAnsi="Arial" w:cs="Arial"/>
                <w:b/>
                <w:bCs/>
                <w:sz w:val="22"/>
                <w:szCs w:val="22"/>
                <w:lang w:val="es-CR"/>
              </w:rPr>
            </w:pPr>
            <w:r w:rsidRPr="0010166C">
              <w:rPr>
                <w:rFonts w:ascii="Arial" w:hAnsi="Arial" w:cs="Arial"/>
                <w:b/>
                <w:bCs/>
                <w:sz w:val="22"/>
                <w:szCs w:val="22"/>
                <w:lang w:val="es-CR"/>
              </w:rPr>
              <w:t>DEPENDENCIA</w:t>
            </w:r>
          </w:p>
        </w:tc>
      </w:tr>
      <w:tr w:rsidR="0010166C" w:rsidRPr="0010166C" w:rsidTr="00291012">
        <w:trPr>
          <w:trHeight w:val="283"/>
          <w:jc w:val="center"/>
        </w:trPr>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César Fallas Solano</w:t>
            </w:r>
          </w:p>
        </w:tc>
        <w:tc>
          <w:tcPr>
            <w:tcW w:w="46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Escuela de Cultura y Deporte</w:t>
            </w:r>
          </w:p>
        </w:tc>
      </w:tr>
      <w:tr w:rsidR="0010166C" w:rsidRPr="0010166C" w:rsidTr="00291012">
        <w:trPr>
          <w:jc w:val="center"/>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Pablo Espinoza Brenes  </w:t>
            </w:r>
          </w:p>
        </w:tc>
        <w:tc>
          <w:tcPr>
            <w:tcW w:w="4668" w:type="dxa"/>
            <w:tcBorders>
              <w:top w:val="nil"/>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Restaurante Institucional </w:t>
            </w:r>
          </w:p>
        </w:tc>
      </w:tr>
      <w:tr w:rsidR="0010166C" w:rsidRPr="0010166C" w:rsidTr="00291012">
        <w:trPr>
          <w:jc w:val="center"/>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lastRenderedPageBreak/>
              <w:t>Gerardo Vargas Morales</w:t>
            </w:r>
            <w:r w:rsidRPr="0010166C">
              <w:rPr>
                <w:rFonts w:ascii="Arial" w:hAnsi="Arial" w:cs="Arial"/>
                <w:i/>
                <w:sz w:val="22"/>
                <w:szCs w:val="22"/>
                <w:lang w:val="es-CR"/>
              </w:rPr>
              <w:t xml:space="preserve">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Escuela  de  Ingeniería  Agrícola</w:t>
            </w:r>
          </w:p>
        </w:tc>
      </w:tr>
      <w:tr w:rsidR="0010166C" w:rsidRPr="0010166C" w:rsidTr="00291012">
        <w:trPr>
          <w:jc w:val="center"/>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Rolando Picado Solano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Escuela  de Ingeniería en </w:t>
            </w:r>
            <w:proofErr w:type="spellStart"/>
            <w:r w:rsidRPr="0010166C">
              <w:rPr>
                <w:rFonts w:ascii="Arial" w:hAnsi="Arial" w:cs="Arial"/>
                <w:sz w:val="22"/>
                <w:szCs w:val="22"/>
                <w:lang w:val="es-CR"/>
              </w:rPr>
              <w:t>Agronegocios</w:t>
            </w:r>
            <w:proofErr w:type="spellEnd"/>
          </w:p>
        </w:tc>
      </w:tr>
      <w:tr w:rsidR="0010166C" w:rsidRPr="0010166C" w:rsidTr="00291012">
        <w:trPr>
          <w:jc w:val="center"/>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Nelson Montenegro  Brenes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Dpto.  Administración  de  Mantenimiento</w:t>
            </w:r>
          </w:p>
        </w:tc>
      </w:tr>
      <w:tr w:rsidR="0010166C" w:rsidRPr="0010166C" w:rsidTr="00291012">
        <w:trPr>
          <w:jc w:val="center"/>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Antonio Barquero Segura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Dpto. de  Orientación  y  Psicología</w:t>
            </w:r>
          </w:p>
        </w:tc>
      </w:tr>
      <w:tr w:rsidR="0010166C" w:rsidRPr="0010166C" w:rsidTr="00291012">
        <w:trPr>
          <w:jc w:val="center"/>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Patricia Arrieta  Quirós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Escuela  de  Física</w:t>
            </w:r>
          </w:p>
        </w:tc>
      </w:tr>
      <w:tr w:rsidR="0010166C" w:rsidRPr="0010166C" w:rsidTr="00291012">
        <w:trPr>
          <w:trHeight w:val="252"/>
          <w:jc w:val="center"/>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Olga  Marta Acevedo Morales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CIVCO</w:t>
            </w:r>
          </w:p>
        </w:tc>
      </w:tr>
      <w:tr w:rsidR="0010166C" w:rsidRPr="0010166C" w:rsidTr="00291012">
        <w:trPr>
          <w:trHeight w:val="242"/>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proofErr w:type="spellStart"/>
            <w:r w:rsidRPr="0010166C">
              <w:rPr>
                <w:rFonts w:ascii="Arial" w:hAnsi="Arial" w:cs="Arial"/>
                <w:sz w:val="22"/>
                <w:szCs w:val="22"/>
                <w:lang w:val="es-CR"/>
              </w:rPr>
              <w:t>Marysia</w:t>
            </w:r>
            <w:proofErr w:type="spellEnd"/>
            <w:r w:rsidRPr="0010166C">
              <w:rPr>
                <w:rFonts w:ascii="Arial" w:hAnsi="Arial" w:cs="Arial"/>
                <w:sz w:val="22"/>
                <w:szCs w:val="22"/>
                <w:lang w:val="es-CR"/>
              </w:rPr>
              <w:t xml:space="preserve"> Gómez Gallardo</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Escuela  de  Química</w:t>
            </w:r>
          </w:p>
        </w:tc>
      </w:tr>
      <w:tr w:rsidR="0010166C" w:rsidRPr="0010166C" w:rsidTr="00291012">
        <w:trPr>
          <w:trHeight w:val="449"/>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Jorge Mora Villalobos</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Escuela de Ciencias y Letras.</w:t>
            </w:r>
          </w:p>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Sede  Regional San  Carlos</w:t>
            </w:r>
          </w:p>
        </w:tc>
      </w:tr>
      <w:tr w:rsidR="0010166C" w:rsidRPr="0010166C" w:rsidTr="00291012">
        <w:trPr>
          <w:trHeight w:val="367"/>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Luis  Fernando  Campos</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Escuela  de  Ingeniería en </w:t>
            </w:r>
            <w:proofErr w:type="spellStart"/>
            <w:r w:rsidRPr="0010166C">
              <w:rPr>
                <w:rFonts w:ascii="Arial" w:hAnsi="Arial" w:cs="Arial"/>
                <w:sz w:val="22"/>
                <w:szCs w:val="22"/>
                <w:lang w:val="es-CR"/>
              </w:rPr>
              <w:t>Agronegocios</w:t>
            </w:r>
            <w:proofErr w:type="spellEnd"/>
          </w:p>
        </w:tc>
      </w:tr>
      <w:tr w:rsidR="0010166C" w:rsidRPr="0010166C" w:rsidTr="00291012">
        <w:trPr>
          <w:trHeight w:val="449"/>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Juan Rafael Córdoba Mora    </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Escuela de Ingeniería en Diseño  Industrial</w:t>
            </w:r>
          </w:p>
        </w:tc>
      </w:tr>
      <w:tr w:rsidR="0010166C" w:rsidRPr="0010166C" w:rsidTr="00291012">
        <w:trPr>
          <w:trHeight w:val="449"/>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Jaime Martínez Galán  </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Escuela de Cultura y Deporte. </w:t>
            </w:r>
          </w:p>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Centro Académico de San  José</w:t>
            </w:r>
          </w:p>
        </w:tc>
      </w:tr>
      <w:tr w:rsidR="0010166C" w:rsidRPr="0010166C" w:rsidTr="00291012">
        <w:trPr>
          <w:trHeight w:val="334"/>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Rocío Abarca González </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Escuela Ciencias del Lenguaje</w:t>
            </w:r>
          </w:p>
        </w:tc>
      </w:tr>
      <w:tr w:rsidR="0010166C" w:rsidRPr="0010166C" w:rsidTr="00291012">
        <w:trPr>
          <w:trHeight w:val="285"/>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Miguel Vidal </w:t>
            </w:r>
            <w:proofErr w:type="spellStart"/>
            <w:r w:rsidRPr="0010166C">
              <w:rPr>
                <w:rFonts w:ascii="Arial" w:hAnsi="Arial" w:cs="Arial"/>
                <w:sz w:val="22"/>
                <w:szCs w:val="22"/>
                <w:lang w:val="es-CR"/>
              </w:rPr>
              <w:t>Vidal</w:t>
            </w:r>
            <w:proofErr w:type="spellEnd"/>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Sede Regional San Carlos </w:t>
            </w:r>
          </w:p>
        </w:tc>
      </w:tr>
      <w:tr w:rsidR="0010166C" w:rsidRPr="0010166C" w:rsidTr="00291012">
        <w:trPr>
          <w:trHeight w:val="249"/>
          <w:jc w:val="center"/>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Pedro Arrieta </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166C" w:rsidRPr="0010166C" w:rsidRDefault="0010166C" w:rsidP="0010166C">
            <w:pPr>
              <w:rPr>
                <w:rFonts w:ascii="Arial" w:hAnsi="Arial" w:cs="Arial"/>
                <w:sz w:val="22"/>
                <w:szCs w:val="22"/>
                <w:lang w:val="es-CR"/>
              </w:rPr>
            </w:pPr>
            <w:r w:rsidRPr="0010166C">
              <w:rPr>
                <w:rFonts w:ascii="Arial" w:hAnsi="Arial" w:cs="Arial"/>
                <w:sz w:val="22"/>
                <w:szCs w:val="22"/>
                <w:lang w:val="es-CR"/>
              </w:rPr>
              <w:t xml:space="preserve">Escuela Cultura y Deporte </w:t>
            </w:r>
          </w:p>
        </w:tc>
      </w:tr>
    </w:tbl>
    <w:p w:rsidR="0010166C" w:rsidRPr="0010166C" w:rsidRDefault="0010166C" w:rsidP="0010166C">
      <w:pPr>
        <w:ind w:left="360"/>
        <w:jc w:val="both"/>
        <w:rPr>
          <w:rFonts w:ascii="Arial" w:hAnsi="Arial" w:cs="Arial"/>
          <w:lang w:val="es-CR"/>
        </w:rPr>
      </w:pPr>
    </w:p>
    <w:p w:rsidR="0010166C" w:rsidRPr="0010166C" w:rsidRDefault="0010166C" w:rsidP="0010166C">
      <w:pPr>
        <w:numPr>
          <w:ilvl w:val="0"/>
          <w:numId w:val="38"/>
        </w:numPr>
        <w:ind w:left="322"/>
        <w:jc w:val="both"/>
        <w:rPr>
          <w:rFonts w:ascii="Arial" w:hAnsi="Arial" w:cs="Arial"/>
          <w:lang w:val="es-CR"/>
        </w:rPr>
      </w:pPr>
      <w:r w:rsidRPr="0010166C">
        <w:rPr>
          <w:rFonts w:ascii="Arial" w:hAnsi="Arial" w:cs="Arial"/>
          <w:lang w:val="es-CR"/>
        </w:rPr>
        <w:t>Cada una de estas personas trabajaron para el ITCR con esmero, dedicación y con entusiasmo, aportando al desarrollo de la Institución y contribuyeron en las diferentes áreas: docencia, investigación, extensión, acción social, servicios estudiantiles y servicios administrativos, según el puesto que desempeñaron.</w:t>
      </w:r>
    </w:p>
    <w:p w:rsidR="0010166C" w:rsidRPr="0010166C" w:rsidRDefault="0010166C" w:rsidP="0010166C">
      <w:pPr>
        <w:ind w:left="720"/>
        <w:jc w:val="both"/>
        <w:rPr>
          <w:rFonts w:ascii="Arial" w:hAnsi="Arial" w:cs="Arial"/>
          <w:lang w:val="es-CR"/>
        </w:rPr>
      </w:pPr>
    </w:p>
    <w:p w:rsidR="0010166C" w:rsidRPr="0010166C" w:rsidRDefault="0010166C" w:rsidP="0010166C">
      <w:pPr>
        <w:numPr>
          <w:ilvl w:val="0"/>
          <w:numId w:val="38"/>
        </w:numPr>
        <w:ind w:left="322"/>
        <w:jc w:val="both"/>
        <w:rPr>
          <w:rFonts w:ascii="Arial" w:hAnsi="Arial" w:cs="Arial"/>
          <w:lang w:val="es-CR"/>
        </w:rPr>
      </w:pPr>
      <w:r w:rsidRPr="0010166C">
        <w:rPr>
          <w:rFonts w:ascii="Arial" w:hAnsi="Arial" w:cs="Arial"/>
          <w:lang w:val="es-CR"/>
        </w:rPr>
        <w:t>El fallecimiento de estas personas provocó un impacto muy fuerte en sus compañeros y compañeras, afectándolos en su condición personal e individual y de manera colectiva, en el desarrollo de sus funciones.  Situación que es natural y comprensible, porque son personas que han compartido durante años, lo que genera afectos, cariños, aprecios y admiración.</w:t>
      </w:r>
    </w:p>
    <w:p w:rsidR="0010166C" w:rsidRPr="0010166C" w:rsidRDefault="0010166C" w:rsidP="0010166C">
      <w:pPr>
        <w:ind w:left="708"/>
        <w:rPr>
          <w:rFonts w:ascii="Arial" w:hAnsi="Arial" w:cs="Arial"/>
          <w:lang w:val="es-CR"/>
        </w:rPr>
      </w:pPr>
    </w:p>
    <w:p w:rsidR="0010166C" w:rsidRPr="0010166C" w:rsidRDefault="0010166C" w:rsidP="0010166C">
      <w:pPr>
        <w:numPr>
          <w:ilvl w:val="0"/>
          <w:numId w:val="38"/>
        </w:numPr>
        <w:ind w:left="322"/>
        <w:jc w:val="both"/>
        <w:rPr>
          <w:rFonts w:ascii="Arial" w:hAnsi="Arial" w:cs="Arial"/>
          <w:lang w:val="es-CR"/>
        </w:rPr>
      </w:pPr>
      <w:r w:rsidRPr="0010166C">
        <w:rPr>
          <w:rFonts w:ascii="Arial" w:hAnsi="Arial" w:cs="Arial"/>
          <w:lang w:val="es-CR"/>
        </w:rPr>
        <w:t xml:space="preserve">El Instituto no cuenta con un protocolo que permita la atención de las situaciones que se generan en las instancias institucionales, ante la muerte de un compañero o compañera, y que ayude a amortiguar el dolor y el impacto, que tales muertes generan.  Este es un aspecto que el Instituto debe corregir en el marco del eje transversal, aprobado por el III CONGRESO INSTITUCIONAL que establece al </w:t>
      </w:r>
      <w:r w:rsidRPr="0010166C">
        <w:rPr>
          <w:rFonts w:ascii="Arial" w:hAnsi="Arial" w:cs="Arial"/>
          <w:sz w:val="23"/>
          <w:szCs w:val="23"/>
          <w:lang w:val="es-CR" w:eastAsia="es-CR"/>
        </w:rPr>
        <w:t>ser humano como principio y fin de la acción institucional</w:t>
      </w:r>
      <w:r w:rsidRPr="0010166C">
        <w:rPr>
          <w:rFonts w:ascii="Arial" w:hAnsi="Arial" w:cs="Arial"/>
          <w:lang w:val="es-CR"/>
        </w:rPr>
        <w:t>.</w:t>
      </w:r>
    </w:p>
    <w:p w:rsidR="0010166C" w:rsidRPr="0010166C" w:rsidRDefault="0010166C" w:rsidP="0010166C">
      <w:pPr>
        <w:ind w:left="708"/>
        <w:rPr>
          <w:rFonts w:ascii="Arial" w:hAnsi="Arial" w:cs="Arial"/>
          <w:lang w:val="es-CR"/>
        </w:rPr>
      </w:pPr>
    </w:p>
    <w:p w:rsidR="0010166C" w:rsidRPr="0010166C" w:rsidRDefault="0010166C" w:rsidP="0010166C">
      <w:pPr>
        <w:numPr>
          <w:ilvl w:val="0"/>
          <w:numId w:val="38"/>
        </w:numPr>
        <w:ind w:left="322"/>
        <w:jc w:val="both"/>
        <w:rPr>
          <w:rFonts w:ascii="Arial" w:hAnsi="Arial" w:cs="Arial"/>
          <w:lang w:val="es-CR"/>
        </w:rPr>
      </w:pPr>
      <w:r w:rsidRPr="0010166C">
        <w:rPr>
          <w:rFonts w:ascii="Arial" w:hAnsi="Arial" w:cs="Arial"/>
          <w:lang w:val="es-CR"/>
        </w:rPr>
        <w:t xml:space="preserve">Recientemente, ante la muerte del compañero Pablo Roberto Espinoza Brenes, la Comunidad del Instituto fue testigo de un acto de solidaridad, en el que la Unidad Restaurante Institucional se organizó, para que los productos a ofrecer estuvieran listos a tiempo, pero ante la situación de que el servicio al cliente estaba pendiente, muchos y muchas personas se solidarizaron para que el servicio se ofreciera, como siempre a tiempo y con calidad.  Este es un ejemplo de que se pueden atender siempre los servicios, y también respetar el sentimiento del personal que está pasando un mal momento. </w:t>
      </w:r>
    </w:p>
    <w:p w:rsidR="0010166C" w:rsidRPr="0010166C" w:rsidRDefault="0010166C" w:rsidP="0010166C">
      <w:pPr>
        <w:ind w:left="708"/>
        <w:rPr>
          <w:rFonts w:ascii="Arial" w:hAnsi="Arial" w:cs="Arial"/>
          <w:lang w:val="es-CR"/>
        </w:rPr>
      </w:pPr>
    </w:p>
    <w:p w:rsidR="0010166C" w:rsidRPr="0010166C" w:rsidRDefault="0010166C" w:rsidP="0010166C">
      <w:pPr>
        <w:numPr>
          <w:ilvl w:val="0"/>
          <w:numId w:val="38"/>
        </w:numPr>
        <w:ind w:left="322"/>
        <w:jc w:val="both"/>
        <w:rPr>
          <w:rFonts w:ascii="Arial" w:hAnsi="Arial" w:cs="Arial"/>
          <w:lang w:val="es-CR"/>
        </w:rPr>
      </w:pPr>
      <w:r w:rsidRPr="0010166C">
        <w:rPr>
          <w:rFonts w:ascii="Arial" w:hAnsi="Arial" w:cs="Arial"/>
          <w:lang w:val="es-CR"/>
        </w:rPr>
        <w:t xml:space="preserve">El personal de psicólogos y psicólogas del Instituto ha estado trabajando en la creación de un protocolo, para atender diferentes situaciones imprevistas y una de </w:t>
      </w:r>
      <w:r w:rsidRPr="0010166C">
        <w:rPr>
          <w:rFonts w:ascii="Arial" w:hAnsi="Arial" w:cs="Arial"/>
          <w:lang w:val="es-CR"/>
        </w:rPr>
        <w:lastRenderedPageBreak/>
        <w:t>ellas ha sido el fallecimiento de funcionarios o funcionarios durante su servicio al TEC, instrumento que hay que oficializar.</w:t>
      </w:r>
    </w:p>
    <w:p w:rsidR="0010166C" w:rsidRPr="0010166C" w:rsidRDefault="0010166C" w:rsidP="0010166C">
      <w:pPr>
        <w:ind w:left="708"/>
        <w:rPr>
          <w:rFonts w:ascii="Arial" w:hAnsi="Arial" w:cs="Arial"/>
          <w:lang w:val="es-CR"/>
        </w:rPr>
      </w:pPr>
    </w:p>
    <w:p w:rsidR="0010166C" w:rsidRPr="0010166C" w:rsidRDefault="0010166C" w:rsidP="0010166C">
      <w:pPr>
        <w:numPr>
          <w:ilvl w:val="0"/>
          <w:numId w:val="38"/>
        </w:numPr>
        <w:ind w:left="322"/>
        <w:jc w:val="both"/>
        <w:rPr>
          <w:rFonts w:ascii="Arial" w:hAnsi="Arial" w:cs="Arial"/>
          <w:lang w:val="es-CR"/>
        </w:rPr>
      </w:pPr>
      <w:r w:rsidRPr="0010166C">
        <w:rPr>
          <w:rFonts w:ascii="Arial" w:hAnsi="Arial" w:cs="Arial"/>
          <w:lang w:val="es-CR"/>
        </w:rPr>
        <w:t xml:space="preserve">En la Reunión Ordinaria No 774-2018 de la Comisión de Planificación y Administración, realizada el jueves 14 de junio 2018, se conoció la propuesta presentada por la </w:t>
      </w:r>
      <w:proofErr w:type="spellStart"/>
      <w:r w:rsidRPr="0010166C">
        <w:rPr>
          <w:rFonts w:ascii="Arial" w:hAnsi="Arial" w:cs="Arial"/>
          <w:lang w:val="es-CR"/>
        </w:rPr>
        <w:t>M.Sc</w:t>
      </w:r>
      <w:proofErr w:type="spellEnd"/>
      <w:r w:rsidRPr="0010166C">
        <w:rPr>
          <w:rFonts w:ascii="Arial" w:hAnsi="Arial" w:cs="Arial"/>
          <w:lang w:val="es-CR"/>
        </w:rPr>
        <w:t>. Ana Rosa Ruiz Fernández, para la creación de un protocolo, para la atención del personal por la muerte de un compañero o compañera, y se acordó dictaminarla positivamente y elevar una propuesta al pleno.</w:t>
      </w:r>
    </w:p>
    <w:p w:rsidR="0010166C" w:rsidRPr="0010166C" w:rsidRDefault="0010166C" w:rsidP="0010166C">
      <w:pPr>
        <w:jc w:val="both"/>
        <w:rPr>
          <w:rFonts w:ascii="Arial" w:hAnsi="Arial" w:cs="Arial"/>
          <w:b/>
          <w:lang w:val="es-CR"/>
        </w:rPr>
      </w:pPr>
    </w:p>
    <w:p w:rsidR="0010166C" w:rsidRPr="0010166C" w:rsidRDefault="0010166C" w:rsidP="0010166C">
      <w:pPr>
        <w:jc w:val="both"/>
        <w:rPr>
          <w:rFonts w:ascii="Arial" w:hAnsi="Arial" w:cs="Arial"/>
          <w:b/>
          <w:lang w:val="es-CR"/>
        </w:rPr>
      </w:pPr>
      <w:r w:rsidRPr="0010166C">
        <w:rPr>
          <w:rFonts w:ascii="Arial" w:hAnsi="Arial" w:cs="Arial"/>
          <w:b/>
          <w:lang w:val="es-CR"/>
        </w:rPr>
        <w:t xml:space="preserve">SE </w:t>
      </w:r>
      <w:r>
        <w:rPr>
          <w:rFonts w:ascii="Arial" w:hAnsi="Arial" w:cs="Arial"/>
          <w:b/>
          <w:lang w:val="es-CR"/>
        </w:rPr>
        <w:t>ACUERDA</w:t>
      </w:r>
      <w:r w:rsidRPr="0010166C">
        <w:rPr>
          <w:rFonts w:ascii="Arial" w:hAnsi="Arial" w:cs="Arial"/>
          <w:b/>
          <w:lang w:val="es-CR"/>
        </w:rPr>
        <w:t>:</w:t>
      </w:r>
    </w:p>
    <w:p w:rsidR="0010166C" w:rsidRPr="0010166C" w:rsidRDefault="0010166C" w:rsidP="0010166C">
      <w:pPr>
        <w:jc w:val="both"/>
        <w:rPr>
          <w:rFonts w:ascii="Arial" w:hAnsi="Arial" w:cs="Arial"/>
          <w:b/>
          <w:sz w:val="16"/>
          <w:szCs w:val="16"/>
          <w:lang w:val="es-CR"/>
        </w:rPr>
      </w:pPr>
    </w:p>
    <w:p w:rsidR="0010166C" w:rsidRPr="0010166C" w:rsidRDefault="0010166C" w:rsidP="0010166C">
      <w:pPr>
        <w:numPr>
          <w:ilvl w:val="0"/>
          <w:numId w:val="35"/>
        </w:numPr>
        <w:ind w:left="284" w:right="-91" w:hanging="284"/>
        <w:jc w:val="both"/>
        <w:rPr>
          <w:rFonts w:ascii="Arial" w:hAnsi="Arial" w:cs="Arial"/>
          <w:szCs w:val="20"/>
        </w:rPr>
      </w:pPr>
      <w:r w:rsidRPr="0010166C">
        <w:rPr>
          <w:rFonts w:ascii="Arial" w:hAnsi="Arial" w:cs="Arial"/>
          <w:szCs w:val="20"/>
        </w:rPr>
        <w:t>Solicitar a la Administración la elaboración de un protocolo, para la atención de las personas que integran un departamento o una unidad, cuando enfrenten la muerte de un compañero o compañera de trabajo, aplicable en las diferentes Sedes y Centros Académicos.</w:t>
      </w:r>
    </w:p>
    <w:p w:rsidR="0010166C" w:rsidRPr="0010166C" w:rsidRDefault="0010166C" w:rsidP="0010166C">
      <w:pPr>
        <w:jc w:val="both"/>
        <w:rPr>
          <w:rFonts w:ascii="Arial" w:hAnsi="Arial" w:cs="Arial"/>
          <w:b/>
          <w:sz w:val="16"/>
          <w:szCs w:val="16"/>
          <w:lang w:val="es-CR"/>
        </w:rPr>
      </w:pPr>
    </w:p>
    <w:p w:rsidR="0010166C" w:rsidRPr="0010166C" w:rsidRDefault="0010166C" w:rsidP="0010166C">
      <w:pPr>
        <w:numPr>
          <w:ilvl w:val="0"/>
          <w:numId w:val="35"/>
        </w:numPr>
        <w:ind w:left="284" w:right="-91" w:hanging="284"/>
        <w:jc w:val="both"/>
        <w:rPr>
          <w:rFonts w:ascii="Arial" w:hAnsi="Arial" w:cs="Arial"/>
          <w:szCs w:val="20"/>
        </w:rPr>
      </w:pPr>
      <w:r w:rsidRPr="0010166C">
        <w:rPr>
          <w:rFonts w:ascii="Arial" w:hAnsi="Arial" w:cs="Arial"/>
          <w:szCs w:val="20"/>
        </w:rPr>
        <w:t>Presentar la propuesta de protocolo al Consejo Institucional, a más tardar en el mes de octubre del 2018.</w:t>
      </w:r>
    </w:p>
    <w:p w:rsidR="00956670" w:rsidRPr="00956670" w:rsidRDefault="00956670" w:rsidP="001E1E49">
      <w:pPr>
        <w:jc w:val="both"/>
        <w:rPr>
          <w:rFonts w:ascii="Arial" w:eastAsia="Cambria" w:hAnsi="Arial" w:cs="Arial"/>
          <w:lang w:eastAsia="en-US"/>
        </w:rPr>
      </w:pPr>
    </w:p>
    <w:p w:rsidR="001E1E49" w:rsidRPr="001A7DF9" w:rsidRDefault="003859C1" w:rsidP="0010166C">
      <w:pPr>
        <w:numPr>
          <w:ilvl w:val="0"/>
          <w:numId w:val="35"/>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10166C" w:rsidRDefault="0010166C" w:rsidP="001A7DF9">
      <w:pPr>
        <w:autoSpaceDE w:val="0"/>
        <w:autoSpaceDN w:val="0"/>
        <w:adjustRightInd w:val="0"/>
        <w:ind w:right="-91"/>
        <w:jc w:val="both"/>
        <w:rPr>
          <w:rFonts w:ascii="Arial" w:hAnsi="Arial" w:cs="Arial"/>
          <w:b/>
          <w:sz w:val="22"/>
          <w:szCs w:val="22"/>
          <w:lang w:val="es-CR"/>
        </w:rPr>
      </w:pPr>
    </w:p>
    <w:p w:rsidR="0010166C" w:rsidRPr="0010166C" w:rsidRDefault="0010166C" w:rsidP="0010166C">
      <w:pPr>
        <w:widowControl w:val="0"/>
        <w:jc w:val="both"/>
        <w:rPr>
          <w:rFonts w:ascii="Arial" w:hAnsi="Arial" w:cs="Arial"/>
          <w:b/>
          <w:i/>
          <w:sz w:val="20"/>
          <w:szCs w:val="20"/>
        </w:rPr>
      </w:pPr>
      <w:r w:rsidRPr="0010166C">
        <w:rPr>
          <w:rFonts w:ascii="Arial" w:hAnsi="Arial" w:cs="Arial"/>
          <w:b/>
          <w:i/>
          <w:sz w:val="20"/>
          <w:szCs w:val="20"/>
        </w:rPr>
        <w:t xml:space="preserve">Palabras Clave:     protocolo – muerte – compañero –compañera </w:t>
      </w:r>
    </w:p>
    <w:p w:rsidR="0010166C" w:rsidRPr="0010166C" w:rsidRDefault="0010166C" w:rsidP="0010166C">
      <w:pPr>
        <w:widowControl w:val="0"/>
        <w:jc w:val="both"/>
        <w:rPr>
          <w:rFonts w:ascii="Arial" w:hAnsi="Arial" w:cs="Arial"/>
          <w:b/>
          <w:i/>
          <w:sz w:val="20"/>
          <w:szCs w:val="20"/>
        </w:rPr>
      </w:pPr>
    </w:p>
    <w:p w:rsidR="0010166C" w:rsidRPr="0010166C" w:rsidRDefault="0010166C" w:rsidP="0010166C">
      <w:pPr>
        <w:jc w:val="both"/>
        <w:rPr>
          <w:rFonts w:ascii="Arial" w:eastAsia="Cambria" w:hAnsi="Arial" w:cs="Arial"/>
          <w:lang w:eastAsia="en-US"/>
        </w:rPr>
      </w:pPr>
    </w:p>
    <w:p w:rsidR="001A7DF9" w:rsidRPr="0010166C" w:rsidRDefault="001A7DF9" w:rsidP="001A7DF9">
      <w:pPr>
        <w:autoSpaceDE w:val="0"/>
        <w:autoSpaceDN w:val="0"/>
        <w:adjustRightInd w:val="0"/>
        <w:ind w:right="-91"/>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0166C">
        <w:trPr>
          <w:trHeight w:val="183"/>
        </w:trPr>
        <w:tc>
          <w:tcPr>
            <w:tcW w:w="4361" w:type="dxa"/>
          </w:tcPr>
          <w:p w:rsidR="00F4695B" w:rsidRPr="00474B22" w:rsidRDefault="00F4695B" w:rsidP="0010166C">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96" w:rsidRDefault="003F6F96">
      <w:r>
        <w:separator/>
      </w:r>
    </w:p>
  </w:endnote>
  <w:endnote w:type="continuationSeparator" w:id="0">
    <w:p w:rsidR="003F6F96" w:rsidRDefault="003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96" w:rsidRDefault="003F6F96">
      <w:r>
        <w:separator/>
      </w:r>
    </w:p>
  </w:footnote>
  <w:footnote w:type="continuationSeparator" w:id="0">
    <w:p w:rsidR="003F6F96" w:rsidRDefault="003F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CB3836">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CB3836">
      <w:rPr>
        <w:rFonts w:ascii="Arial" w:eastAsia="Cambria" w:hAnsi="Arial" w:cs="Arial"/>
        <w:i/>
        <w:sz w:val="18"/>
        <w:szCs w:val="18"/>
        <w:lang w:val="es-ES_tradnl" w:eastAsia="x-none"/>
      </w:rPr>
      <w:t>2</w:t>
    </w:r>
    <w:r w:rsidR="0010166C">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CB3836">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53552">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2"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9"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1"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8"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9"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1"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6"/>
  </w:num>
  <w:num w:numId="3">
    <w:abstractNumId w:val="24"/>
  </w:num>
  <w:num w:numId="4">
    <w:abstractNumId w:val="2"/>
  </w:num>
  <w:num w:numId="5">
    <w:abstractNumId w:val="13"/>
  </w:num>
  <w:num w:numId="6">
    <w:abstractNumId w:val="27"/>
  </w:num>
  <w:num w:numId="7">
    <w:abstractNumId w:val="14"/>
  </w:num>
  <w:num w:numId="8">
    <w:abstractNumId w:val="8"/>
  </w:num>
  <w:num w:numId="9">
    <w:abstractNumId w:val="20"/>
  </w:num>
  <w:num w:numId="10">
    <w:abstractNumId w:val="11"/>
  </w:num>
  <w:num w:numId="11">
    <w:abstractNumId w:val="28"/>
  </w:num>
  <w:num w:numId="12">
    <w:abstractNumId w:val="32"/>
  </w:num>
  <w:num w:numId="13">
    <w:abstractNumId w:val="19"/>
  </w:num>
  <w:num w:numId="14">
    <w:abstractNumId w:val="26"/>
  </w:num>
  <w:num w:numId="15">
    <w:abstractNumId w:val="0"/>
  </w:num>
  <w:num w:numId="16">
    <w:abstractNumId w:val="12"/>
  </w:num>
  <w:num w:numId="17">
    <w:abstractNumId w:val="10"/>
  </w:num>
  <w:num w:numId="18">
    <w:abstractNumId w:val="31"/>
  </w:num>
  <w:num w:numId="19">
    <w:abstractNumId w:val="21"/>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2"/>
  </w:num>
  <w:num w:numId="27">
    <w:abstractNumId w:val="23"/>
  </w:num>
  <w:num w:numId="28">
    <w:abstractNumId w:val="16"/>
  </w:num>
  <w:num w:numId="29">
    <w:abstractNumId w:val="38"/>
  </w:num>
  <w:num w:numId="30">
    <w:abstractNumId w:val="5"/>
  </w:num>
  <w:num w:numId="31">
    <w:abstractNumId w:val="25"/>
  </w:num>
  <w:num w:numId="32">
    <w:abstractNumId w:val="15"/>
  </w:num>
  <w:num w:numId="33">
    <w:abstractNumId w:val="18"/>
  </w:num>
  <w:num w:numId="34">
    <w:abstractNumId w:val="33"/>
  </w:num>
  <w:num w:numId="35">
    <w:abstractNumId w:val="35"/>
  </w:num>
  <w:num w:numId="36">
    <w:abstractNumId w:val="41"/>
  </w:num>
  <w:num w:numId="37">
    <w:abstractNumId w:val="39"/>
  </w:num>
  <w:num w:numId="38">
    <w:abstractNumId w:val="1"/>
  </w:num>
  <w:num w:numId="39">
    <w:abstractNumId w:val="9"/>
  </w:num>
  <w:num w:numId="40">
    <w:abstractNumId w:val="34"/>
  </w:num>
  <w:num w:numId="41">
    <w:abstractNumId w:val="7"/>
  </w:num>
  <w:num w:numId="42">
    <w:abstractNumId w:val="17"/>
  </w:num>
  <w:num w:numId="43">
    <w:abstractNumId w:val="4"/>
  </w:num>
  <w:num w:numId="4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099"/>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166C"/>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0763"/>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6F96"/>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1766"/>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3836"/>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3552"/>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5425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FAA6-F736-4DFF-BAC4-2D74ED54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900</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26</cp:revision>
  <cp:lastPrinted>2018-06-27T23:54:00Z</cp:lastPrinted>
  <dcterms:created xsi:type="dcterms:W3CDTF">2018-05-02T21:37:00Z</dcterms:created>
  <dcterms:modified xsi:type="dcterms:W3CDTF">2018-06-28T13:58:00Z</dcterms:modified>
</cp:coreProperties>
</file>