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B76911">
        <w:rPr>
          <w:rFonts w:ascii="Arial" w:hAnsi="Arial" w:cs="Arial"/>
          <w:b/>
          <w:bCs/>
          <w:iCs/>
          <w:sz w:val="26"/>
          <w:szCs w:val="22"/>
          <w:lang w:val="es-CR"/>
        </w:rPr>
        <w:t>626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995F34" w:rsidRDefault="00B76911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F5243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F1409A" w:rsidRPr="00DA4A82" w:rsidRDefault="00B76911" w:rsidP="00F1409A">
            <w:pPr>
              <w:ind w:left="85" w:hanging="8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F1409A"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Ileana Vargas Jiménez, President</w:t>
            </w:r>
            <w:r w:rsidR="001B06D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e</w:t>
            </w:r>
            <w:bookmarkStart w:id="0" w:name="_GoBack"/>
            <w:bookmarkEnd w:id="0"/>
            <w:r w:rsidR="00F1409A"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del Consejo Universitario, Universidad           Nacional </w:t>
            </w:r>
          </w:p>
          <w:p w:rsidR="00F1409A" w:rsidRPr="00DA4A82" w:rsidRDefault="00F1409A" w:rsidP="00F1409A">
            <w:pPr>
              <w:ind w:left="85" w:hanging="8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Mag</w:t>
            </w:r>
            <w:proofErr w:type="spellEnd"/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. Luis Guillermo Carpio </w:t>
            </w:r>
            <w:proofErr w:type="spellStart"/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Malavassi</w:t>
            </w:r>
            <w:proofErr w:type="spellEnd"/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Presidente Consejo Universitario UNED</w:t>
            </w:r>
          </w:p>
          <w:p w:rsidR="00F1409A" w:rsidRPr="00DA4A82" w:rsidRDefault="00F1409A" w:rsidP="00F1409A">
            <w:pPr>
              <w:ind w:left="85" w:hanging="8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Lic. Marcelo Prieto Jiménez, Presidente UTN</w:t>
            </w:r>
          </w:p>
          <w:p w:rsidR="00F1409A" w:rsidRPr="00DA4A82" w:rsidRDefault="00F1409A" w:rsidP="00F1409A">
            <w:pPr>
              <w:ind w:left="85" w:hanging="8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Dr. Rodrigo </w:t>
            </w:r>
            <w:proofErr w:type="spellStart"/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Carboni</w:t>
            </w:r>
            <w:proofErr w:type="spellEnd"/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Méndez, Director Consejo Universitario UCR</w:t>
            </w:r>
          </w:p>
          <w:p w:rsidR="00F1409A" w:rsidRPr="00DA4A82" w:rsidRDefault="00F1409A" w:rsidP="00F1409A">
            <w:pPr>
              <w:ind w:left="85" w:hanging="8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A4A8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Lic. Marcelo Prieto Jiménez, Presidente CONARE </w:t>
            </w:r>
          </w:p>
          <w:p w:rsidR="00F1409A" w:rsidRPr="00AC372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F1409A" w:rsidRPr="00AC372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F1409A" w:rsidRPr="00AC372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 Jiménez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F1409A" w:rsidRPr="00AC372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F1409A" w:rsidRPr="00AC372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Alberto Camero Rey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Director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Sede Regional San Carlos</w:t>
            </w:r>
          </w:p>
          <w:p w:rsidR="00F1409A" w:rsidRPr="00AC372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F1409A" w:rsidRPr="00AC372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F1409A" w:rsidRDefault="00F1409A" w:rsidP="00F1409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4F270B" w:rsidRDefault="00F1409A" w:rsidP="002A2C01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Carla Garita Granados, Directora Oficina de Comunicación y Mercadeo</w:t>
            </w:r>
          </w:p>
          <w:p w:rsidR="00B76911" w:rsidRDefault="00B76911" w:rsidP="002A2C01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Comunidad Institucional</w:t>
            </w:r>
          </w:p>
          <w:p w:rsidR="00F1409A" w:rsidRPr="004F270B" w:rsidRDefault="00F1409A" w:rsidP="002A2C01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2A2C01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22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C852D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agosto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995F34" w:rsidRDefault="00FF209C" w:rsidP="00B76911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493247">
              <w:rPr>
                <w:rFonts w:ascii="Arial" w:eastAsia="Calibri" w:hAnsi="Arial" w:cs="Arial"/>
                <w:b/>
                <w:sz w:val="22"/>
                <w:szCs w:val="22"/>
              </w:rPr>
              <w:t>84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C55F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B76911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2A2C01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  <w:r w:rsidR="00C852D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agosto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493247" w:rsidRPr="00493247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>Pronunciamiento del Consejo Institucional del Instituto Tecnológico de Costa Rica ante actos de xenofobia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A00028" w:rsidRDefault="00A00028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A00028" w:rsidRPr="00A00028" w:rsidRDefault="00A00028" w:rsidP="00A00028">
      <w:pPr>
        <w:rPr>
          <w:rFonts w:ascii="Arial" w:hAnsi="Arial" w:cs="Arial"/>
          <w:b/>
        </w:rPr>
      </w:pPr>
      <w:r w:rsidRPr="00A00028">
        <w:rPr>
          <w:rFonts w:ascii="Arial" w:hAnsi="Arial" w:cs="Arial"/>
          <w:b/>
        </w:rPr>
        <w:t>RESULTANDO QUE:</w:t>
      </w:r>
    </w:p>
    <w:p w:rsidR="00A00028" w:rsidRPr="00A00028" w:rsidRDefault="00A00028" w:rsidP="00A00028">
      <w:pPr>
        <w:rPr>
          <w:rFonts w:ascii="Arial" w:hAnsi="Arial" w:cs="Arial"/>
        </w:rPr>
      </w:pPr>
    </w:p>
    <w:p w:rsidR="00A00028" w:rsidRPr="00A00028" w:rsidRDefault="00A00028" w:rsidP="00A00028">
      <w:pPr>
        <w:numPr>
          <w:ilvl w:val="0"/>
          <w:numId w:val="23"/>
        </w:numPr>
        <w:tabs>
          <w:tab w:val="num" w:pos="465"/>
        </w:tabs>
        <w:ind w:left="465"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>Los Centros de Educación Superior</w:t>
      </w:r>
      <w:r w:rsidR="00B76911">
        <w:rPr>
          <w:rFonts w:ascii="Arial" w:hAnsi="Arial" w:cs="Arial"/>
        </w:rPr>
        <w:t>,</w:t>
      </w:r>
      <w:r w:rsidRPr="00A00028">
        <w:rPr>
          <w:rFonts w:ascii="Arial" w:hAnsi="Arial" w:cs="Arial"/>
        </w:rPr>
        <w:t xml:space="preserve"> se han caracterizado a nivel internacional y nacional por aportar en el avance del desarrollo sostenible de las sociedades. Esto implica el adelanto en los ámbitos docentes, de investigación y de acción social en diversas áreas de la Ciencia y la Tecnología, sin obviar una perspectiva humanista, donde se realizan esfuerzos para colaborar en la construcción de una sociedad libre de violencia y discriminación. En este sentido, destacan las diversas iniciativas para el fomento de una cultura de respeto a la diferencia y al alcance de todos los sectores de población al goce de los Derechos Humanos. </w:t>
      </w:r>
    </w:p>
    <w:p w:rsidR="00A00028" w:rsidRPr="00A00028" w:rsidRDefault="00A00028" w:rsidP="00A00028">
      <w:pPr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3"/>
        </w:numPr>
        <w:tabs>
          <w:tab w:val="num" w:pos="465"/>
        </w:tabs>
        <w:ind w:left="465"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 xml:space="preserve">El </w:t>
      </w:r>
      <w:r w:rsidR="00B76911">
        <w:rPr>
          <w:rFonts w:ascii="Arial" w:hAnsi="Arial" w:cs="Arial"/>
        </w:rPr>
        <w:t>A</w:t>
      </w:r>
      <w:r w:rsidRPr="00A00028">
        <w:rPr>
          <w:rFonts w:ascii="Arial" w:hAnsi="Arial" w:cs="Arial"/>
        </w:rPr>
        <w:t>rtículo 19 de la Constitución Política de la República de Costa Rica</w:t>
      </w:r>
      <w:r w:rsidR="00B76911">
        <w:rPr>
          <w:rFonts w:ascii="Arial" w:hAnsi="Arial" w:cs="Arial"/>
        </w:rPr>
        <w:t>,</w:t>
      </w:r>
      <w:r w:rsidRPr="00A00028">
        <w:rPr>
          <w:rFonts w:ascii="Arial" w:hAnsi="Arial" w:cs="Arial"/>
        </w:rPr>
        <w:t xml:space="preserve"> establece lo siguiente:</w:t>
      </w:r>
    </w:p>
    <w:p w:rsidR="00A00028" w:rsidRPr="00A00028" w:rsidRDefault="00A00028" w:rsidP="00A00028">
      <w:pPr>
        <w:rPr>
          <w:rFonts w:ascii="Arial" w:hAnsi="Arial" w:cs="Arial"/>
          <w:sz w:val="16"/>
          <w:szCs w:val="16"/>
        </w:rPr>
      </w:pPr>
    </w:p>
    <w:p w:rsidR="00A00028" w:rsidRPr="00A00028" w:rsidRDefault="00B76911" w:rsidP="00A00028">
      <w:pPr>
        <w:ind w:left="709" w:right="28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A00028" w:rsidRPr="00A00028">
        <w:rPr>
          <w:rFonts w:ascii="Arial" w:hAnsi="Arial" w:cs="Arial"/>
          <w:i/>
          <w:sz w:val="22"/>
          <w:szCs w:val="22"/>
        </w:rPr>
        <w:t>Artículo 19</w:t>
      </w:r>
    </w:p>
    <w:p w:rsidR="00A00028" w:rsidRPr="00A00028" w:rsidRDefault="00A00028" w:rsidP="00A00028">
      <w:pPr>
        <w:ind w:left="709" w:right="282"/>
        <w:jc w:val="both"/>
        <w:rPr>
          <w:rFonts w:ascii="Arial" w:hAnsi="Arial" w:cs="Arial"/>
          <w:i/>
          <w:sz w:val="22"/>
          <w:szCs w:val="22"/>
        </w:rPr>
      </w:pPr>
      <w:r w:rsidRPr="00A00028">
        <w:rPr>
          <w:rFonts w:ascii="Arial" w:hAnsi="Arial" w:cs="Arial"/>
          <w:i/>
          <w:sz w:val="22"/>
          <w:szCs w:val="22"/>
        </w:rPr>
        <w:t xml:space="preserve">Los extranjeros tienen los mismos deberes y derechos individuales y sociales que los costarricenses, con las excepciones y limitaciones que esta Constitución y las leyes establecen. No pueden intervenir en los asuntos políticos del país, y están sometidos a la jurisdicción de los tribunales de justicia y de las autoridades de la </w:t>
      </w:r>
      <w:r w:rsidRPr="00A00028">
        <w:rPr>
          <w:rFonts w:ascii="Arial" w:hAnsi="Arial" w:cs="Arial"/>
          <w:i/>
          <w:sz w:val="22"/>
          <w:szCs w:val="22"/>
        </w:rPr>
        <w:lastRenderedPageBreak/>
        <w:t>República, sin que puedan ocurrir a la vía diplomática, salvo lo que dispongan los convenios internacionales</w:t>
      </w:r>
      <w:r w:rsidR="00B76911">
        <w:rPr>
          <w:rFonts w:ascii="Arial" w:hAnsi="Arial" w:cs="Arial"/>
          <w:i/>
          <w:sz w:val="22"/>
          <w:szCs w:val="22"/>
        </w:rPr>
        <w:t>”</w:t>
      </w:r>
      <w:r w:rsidRPr="00A00028">
        <w:rPr>
          <w:rFonts w:ascii="Arial" w:hAnsi="Arial" w:cs="Arial"/>
          <w:i/>
          <w:sz w:val="22"/>
          <w:szCs w:val="22"/>
        </w:rPr>
        <w:t>.</w:t>
      </w:r>
    </w:p>
    <w:p w:rsidR="00A00028" w:rsidRPr="00A00028" w:rsidRDefault="00A00028" w:rsidP="00A00028">
      <w:pPr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3"/>
        </w:numPr>
        <w:tabs>
          <w:tab w:val="num" w:pos="465"/>
        </w:tabs>
        <w:ind w:left="465"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 xml:space="preserve">El Instituto Tecnológico de Costa Rica (ITCR), es según lo dispuesto en el Artículo 84 de la Constitución Política de la República de Costa Rica, una </w:t>
      </w:r>
      <w:r w:rsidR="00B76911">
        <w:rPr>
          <w:rFonts w:ascii="Arial" w:hAnsi="Arial" w:cs="Arial"/>
        </w:rPr>
        <w:t>I</w:t>
      </w:r>
      <w:r w:rsidRPr="00A00028">
        <w:rPr>
          <w:rFonts w:ascii="Arial" w:hAnsi="Arial" w:cs="Arial"/>
        </w:rPr>
        <w:t>nstitución de cultura superior que goza de independencia para el desempeño de sus funciones y de plena capacidad jurídica para adquirir derechos y contraer obligaciones, así como para darse su propia organización y gobierno propios.</w:t>
      </w:r>
    </w:p>
    <w:p w:rsidR="00A00028" w:rsidRPr="00A00028" w:rsidRDefault="00A00028" w:rsidP="00A00028">
      <w:pPr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3"/>
        </w:numPr>
        <w:tabs>
          <w:tab w:val="num" w:pos="465"/>
        </w:tabs>
        <w:ind w:left="465"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 xml:space="preserve">El </w:t>
      </w:r>
      <w:r w:rsidR="00B76911">
        <w:rPr>
          <w:rFonts w:ascii="Arial" w:hAnsi="Arial" w:cs="Arial"/>
        </w:rPr>
        <w:t>A</w:t>
      </w:r>
      <w:r w:rsidRPr="00A00028">
        <w:rPr>
          <w:rFonts w:ascii="Arial" w:hAnsi="Arial" w:cs="Arial"/>
        </w:rPr>
        <w:t>rtículo 18, inciso a, del Estatuto Orgánico</w:t>
      </w:r>
      <w:r w:rsidR="00B76911">
        <w:rPr>
          <w:rFonts w:ascii="Arial" w:hAnsi="Arial" w:cs="Arial"/>
        </w:rPr>
        <w:t>,</w:t>
      </w:r>
      <w:r w:rsidRPr="00A00028">
        <w:rPr>
          <w:rFonts w:ascii="Arial" w:hAnsi="Arial" w:cs="Arial"/>
        </w:rPr>
        <w:t xml:space="preserve"> dispone como función del Consejo Institucional:</w:t>
      </w:r>
    </w:p>
    <w:p w:rsidR="00A00028" w:rsidRPr="00A00028" w:rsidRDefault="00A00028" w:rsidP="00A00028">
      <w:pPr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ind w:left="709" w:right="282"/>
        <w:jc w:val="both"/>
        <w:rPr>
          <w:rFonts w:ascii="Arial" w:hAnsi="Arial" w:cs="Arial"/>
          <w:i/>
          <w:sz w:val="22"/>
          <w:szCs w:val="22"/>
        </w:rPr>
      </w:pPr>
      <w:r w:rsidRPr="00A00028">
        <w:rPr>
          <w:rFonts w:ascii="Arial" w:hAnsi="Arial" w:cs="Arial"/>
          <w:i/>
          <w:sz w:val="22"/>
          <w:szCs w:val="22"/>
        </w:rPr>
        <w:t>“Orientar y fiscalizar la ejecución de las Políticas Generales del Instituto y presentar anualmente a la Asamblea Institucional Representativa el informe respectivo, con el fin de que esta evalúe en qué medida las acciones realizadas por la Rectoría y sus órganos ejecutivos, han contribuido al cumplimiento de esas Políticas.”</w:t>
      </w:r>
    </w:p>
    <w:p w:rsidR="00A00028" w:rsidRPr="00A00028" w:rsidRDefault="00A00028" w:rsidP="00A00028">
      <w:pPr>
        <w:jc w:val="both"/>
        <w:rPr>
          <w:rFonts w:ascii="Arial" w:hAnsi="Arial" w:cs="Arial"/>
        </w:rPr>
      </w:pPr>
    </w:p>
    <w:p w:rsidR="00A00028" w:rsidRPr="00A00028" w:rsidRDefault="00A00028" w:rsidP="00A00028">
      <w:pPr>
        <w:numPr>
          <w:ilvl w:val="0"/>
          <w:numId w:val="23"/>
        </w:numPr>
        <w:tabs>
          <w:tab w:val="num" w:pos="465"/>
        </w:tabs>
        <w:ind w:left="465"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>La Política General número 6, aprobada por la Asamblea Institucional Representativa en la Sesión Ordinaria AIR-88-2015, establece lo siguiente:</w:t>
      </w:r>
    </w:p>
    <w:p w:rsidR="00A00028" w:rsidRPr="00A00028" w:rsidRDefault="00A00028" w:rsidP="00A00028">
      <w:pPr>
        <w:ind w:left="825"/>
        <w:contextualSpacing/>
        <w:rPr>
          <w:rFonts w:ascii="Arial" w:hAnsi="Arial" w:cs="Arial"/>
          <w:i/>
          <w:sz w:val="16"/>
          <w:szCs w:val="20"/>
        </w:rPr>
      </w:pPr>
    </w:p>
    <w:p w:rsidR="00A00028" w:rsidRPr="00A00028" w:rsidRDefault="00A00028" w:rsidP="00A00028">
      <w:pPr>
        <w:ind w:left="709" w:right="282"/>
        <w:jc w:val="both"/>
        <w:rPr>
          <w:rFonts w:ascii="Arial" w:hAnsi="Arial" w:cs="Arial"/>
          <w:i/>
          <w:sz w:val="22"/>
          <w:szCs w:val="22"/>
        </w:rPr>
      </w:pPr>
      <w:r w:rsidRPr="00A00028">
        <w:rPr>
          <w:rFonts w:ascii="Arial" w:hAnsi="Arial" w:cs="Arial"/>
          <w:i/>
          <w:sz w:val="22"/>
          <w:szCs w:val="22"/>
        </w:rPr>
        <w:t>“Se incrementará la formación, capacitación y superación del personal para alcanzar la excelencia desde una perspectiva humanística que contemple el compromiso con la equidad, el ambiente y una cultura de paz.”</w:t>
      </w:r>
    </w:p>
    <w:p w:rsidR="00A00028" w:rsidRPr="00A00028" w:rsidRDefault="00A00028" w:rsidP="00B76911">
      <w:pPr>
        <w:contextualSpacing/>
        <w:rPr>
          <w:rFonts w:ascii="Arial" w:hAnsi="Arial" w:cs="Arial"/>
          <w:szCs w:val="20"/>
          <w:lang w:val="es-CR"/>
        </w:rPr>
      </w:pPr>
    </w:p>
    <w:p w:rsidR="00A00028" w:rsidRPr="00A00028" w:rsidRDefault="00A00028" w:rsidP="00A00028">
      <w:pPr>
        <w:numPr>
          <w:ilvl w:val="0"/>
          <w:numId w:val="23"/>
        </w:numPr>
        <w:tabs>
          <w:tab w:val="num" w:pos="465"/>
        </w:tabs>
        <w:ind w:left="465"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>El sábado 18 de agosto de 2018</w:t>
      </w:r>
      <w:r w:rsidR="00B76911">
        <w:rPr>
          <w:rFonts w:ascii="Arial" w:hAnsi="Arial" w:cs="Arial"/>
        </w:rPr>
        <w:t>,</w:t>
      </w:r>
      <w:r w:rsidRPr="00A00028">
        <w:rPr>
          <w:rFonts w:ascii="Arial" w:hAnsi="Arial" w:cs="Arial"/>
        </w:rPr>
        <w:t xml:space="preserve"> se suscitaron diferentes actos en el territorio nacional de marcado carácter racista, xenofóbico, que incitaban al odio y a la violencia, especialmente en contra de la Población Nicaragüense.</w:t>
      </w:r>
    </w:p>
    <w:p w:rsidR="00A00028" w:rsidRPr="00A00028" w:rsidRDefault="00A00028" w:rsidP="00A00028">
      <w:pPr>
        <w:ind w:left="851" w:hanging="284"/>
        <w:jc w:val="both"/>
        <w:rPr>
          <w:rFonts w:ascii="Arial" w:hAnsi="Arial" w:cs="Arial"/>
          <w:b/>
          <w:sz w:val="10"/>
          <w:szCs w:val="10"/>
        </w:rPr>
      </w:pPr>
    </w:p>
    <w:p w:rsidR="00A00028" w:rsidRPr="00A00028" w:rsidRDefault="00A00028" w:rsidP="00A00028">
      <w:pPr>
        <w:spacing w:before="120"/>
        <w:ind w:left="284" w:hanging="284"/>
        <w:jc w:val="both"/>
        <w:rPr>
          <w:rFonts w:ascii="Arial" w:hAnsi="Arial" w:cs="Arial"/>
          <w:b/>
        </w:rPr>
      </w:pPr>
      <w:r w:rsidRPr="00A00028">
        <w:rPr>
          <w:rFonts w:ascii="Arial" w:hAnsi="Arial" w:cs="Arial"/>
          <w:b/>
        </w:rPr>
        <w:t>CONSIDERANDO QUE:</w:t>
      </w:r>
    </w:p>
    <w:p w:rsidR="00A00028" w:rsidRPr="00A00028" w:rsidRDefault="00A00028" w:rsidP="00A00028">
      <w:pPr>
        <w:jc w:val="both"/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  <w:i/>
        </w:rPr>
      </w:pPr>
      <w:r w:rsidRPr="00A00028">
        <w:rPr>
          <w:rFonts w:ascii="Arial" w:hAnsi="Arial" w:cs="Arial"/>
        </w:rPr>
        <w:t xml:space="preserve">El principio de no discriminación de la Convención Iberoamericana de Derechos de las Personas Jóvenes establece: </w:t>
      </w:r>
      <w:r w:rsidRPr="00A00028">
        <w:rPr>
          <w:rFonts w:ascii="Arial" w:hAnsi="Arial" w:cs="Arial"/>
          <w:i/>
        </w:rPr>
        <w:t>“El goce de los derechos y libertades reconocidos a los jóvenes en la presente Convención no admite ninguna discriminación fundada en la raza, el color, el origen social, la pertenencia a una minoría nacional, étnica o cultural, el sexo, la orientación sexual, la lengua, la religión, las opiniones, la condición social, las aptitudes físicas, o la discapacidad, el lugar donde se vive, los recursos económicos o cualquier otra condición o circunstancia personal o social del joven que pudiese ser invocada para establecer discriminaciones que afecten la igualdad de derechos y las oportunidades al goce de los mismos</w:t>
      </w:r>
      <w:r w:rsidRPr="00A00028">
        <w:rPr>
          <w:rFonts w:ascii="Arial" w:hAnsi="Arial" w:cs="Arial"/>
        </w:rPr>
        <w:t xml:space="preserve">” (Art. 5). </w:t>
      </w:r>
    </w:p>
    <w:p w:rsidR="00A00028" w:rsidRPr="00A00028" w:rsidRDefault="00A00028" w:rsidP="00A00028">
      <w:pPr>
        <w:tabs>
          <w:tab w:val="num" w:pos="749"/>
        </w:tabs>
        <w:ind w:left="102"/>
        <w:jc w:val="both"/>
        <w:rPr>
          <w:rFonts w:ascii="Arial" w:hAnsi="Arial" w:cs="Arial"/>
          <w:i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>La República de Costa Rica</w:t>
      </w:r>
      <w:r w:rsidR="00B76911">
        <w:rPr>
          <w:rFonts w:ascii="Arial" w:hAnsi="Arial" w:cs="Arial"/>
        </w:rPr>
        <w:t>,</w:t>
      </w:r>
      <w:r w:rsidRPr="00A00028">
        <w:rPr>
          <w:rFonts w:ascii="Arial" w:hAnsi="Arial" w:cs="Arial"/>
        </w:rPr>
        <w:t xml:space="preserve"> es signataria de la Declaración Universal de los Derechos Humanos, así como de la Declaración Americana de los Derechos del Hombre, el Pacto Internacional de Derechos Civiles y Políticos, y la Convención Americana sobre Derechos Humanos, así como diversos convenios internacionales que definen igualdad, discriminación y derechos humanos.</w:t>
      </w:r>
    </w:p>
    <w:p w:rsidR="00A00028" w:rsidRPr="00A00028" w:rsidRDefault="00A00028" w:rsidP="00A00028">
      <w:pPr>
        <w:ind w:left="567"/>
        <w:contextualSpacing/>
        <w:jc w:val="both"/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 xml:space="preserve">El Artículo 33 de la Constitución Política de Costa Rica, señala que no se podrá hacer discriminación alguna, contraria a la dignidad humana. </w:t>
      </w:r>
    </w:p>
    <w:p w:rsidR="00A00028" w:rsidRPr="00A00028" w:rsidRDefault="00A00028" w:rsidP="00A00028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  <w:i/>
        </w:rPr>
      </w:pPr>
      <w:r w:rsidRPr="00A00028">
        <w:rPr>
          <w:rFonts w:ascii="Arial" w:hAnsi="Arial" w:cs="Arial"/>
        </w:rPr>
        <w:t>Costa Rica es un país que se ha distinguido a lo largo de su historia por favorecer la paz como forma de convivencia.</w:t>
      </w:r>
    </w:p>
    <w:p w:rsidR="00A00028" w:rsidRPr="00A00028" w:rsidRDefault="00A00028" w:rsidP="00A00028">
      <w:pPr>
        <w:ind w:left="720"/>
        <w:contextualSpacing/>
        <w:rPr>
          <w:rFonts w:ascii="Arial" w:hAnsi="Arial" w:cs="Arial"/>
          <w:i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  <w:i/>
        </w:rPr>
      </w:pPr>
      <w:r w:rsidRPr="00A00028">
        <w:rPr>
          <w:rFonts w:ascii="Arial" w:hAnsi="Arial" w:cs="Arial"/>
        </w:rPr>
        <w:lastRenderedPageBreak/>
        <w:t>La cultura y la economía costarricense se han enriquecido, y se siguen enriqueciendo, por el aporte en variados ámbitos del quehacer humano de personas inmigrantes de diferentes nacionalidades.</w:t>
      </w:r>
    </w:p>
    <w:p w:rsidR="00A00028" w:rsidRPr="00A00028" w:rsidRDefault="00A00028" w:rsidP="00A00028">
      <w:pPr>
        <w:ind w:left="567"/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 xml:space="preserve">Los actos de carácter xenofóbico no pueden ser aceptados en nuestro país, en ninguna circunstancia. </w:t>
      </w:r>
    </w:p>
    <w:p w:rsidR="00A00028" w:rsidRPr="00A00028" w:rsidRDefault="00A00028" w:rsidP="00A00028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>El</w:t>
      </w:r>
      <w:r w:rsidR="00B76911">
        <w:rPr>
          <w:rFonts w:ascii="Arial" w:hAnsi="Arial" w:cs="Arial"/>
        </w:rPr>
        <w:t xml:space="preserve"> ITCR</w:t>
      </w:r>
      <w:r w:rsidRPr="00A00028">
        <w:rPr>
          <w:rFonts w:ascii="Arial" w:hAnsi="Arial" w:cs="Arial"/>
        </w:rPr>
        <w:t>, en el marco de su misión y en cumplimiento de la Política General número 6, no puede permanecer indiferente ante los actos xenofóbicos ocurridos el sábado 18 de agosto de 2018.</w:t>
      </w:r>
    </w:p>
    <w:p w:rsidR="00A00028" w:rsidRPr="00A00028" w:rsidRDefault="00A00028" w:rsidP="00A00028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>El I</w:t>
      </w:r>
      <w:r w:rsidR="00B76911">
        <w:rPr>
          <w:rFonts w:ascii="Arial" w:hAnsi="Arial" w:cs="Arial"/>
        </w:rPr>
        <w:t>TCR</w:t>
      </w:r>
      <w:r w:rsidRPr="00A00028">
        <w:rPr>
          <w:rFonts w:ascii="Arial" w:hAnsi="Arial" w:cs="Arial"/>
        </w:rPr>
        <w:t xml:space="preserve">, como </w:t>
      </w:r>
      <w:r w:rsidR="00B76911">
        <w:rPr>
          <w:rFonts w:ascii="Arial" w:hAnsi="Arial" w:cs="Arial"/>
        </w:rPr>
        <w:t>I</w:t>
      </w:r>
      <w:r w:rsidRPr="00A00028">
        <w:rPr>
          <w:rFonts w:ascii="Arial" w:hAnsi="Arial" w:cs="Arial"/>
        </w:rPr>
        <w:t>nstitución de cultura superior que goza de independencia para el desempeño de sus funciones, tiene el compromiso de contribuir a fomentar una cultura de paz, en general y libre de posiciones xenofóbicas, en particular.</w:t>
      </w:r>
    </w:p>
    <w:p w:rsidR="00A00028" w:rsidRPr="00A00028" w:rsidRDefault="00A00028" w:rsidP="00A00028">
      <w:pPr>
        <w:ind w:left="720"/>
        <w:contextualSpacing/>
        <w:rPr>
          <w:rFonts w:ascii="Arial" w:hAnsi="Arial" w:cs="Arial"/>
        </w:rPr>
      </w:pPr>
    </w:p>
    <w:p w:rsidR="00A00028" w:rsidRPr="00A00028" w:rsidRDefault="00A00028" w:rsidP="00A00028">
      <w:pPr>
        <w:numPr>
          <w:ilvl w:val="0"/>
          <w:numId w:val="25"/>
        </w:numPr>
        <w:tabs>
          <w:tab w:val="num" w:pos="749"/>
        </w:tabs>
        <w:ind w:left="518"/>
        <w:contextualSpacing/>
        <w:jc w:val="both"/>
        <w:rPr>
          <w:rFonts w:ascii="Arial" w:hAnsi="Arial" w:cs="Arial"/>
        </w:rPr>
      </w:pPr>
      <w:r w:rsidRPr="00A00028">
        <w:rPr>
          <w:rFonts w:ascii="Arial" w:hAnsi="Arial" w:cs="Arial"/>
        </w:rPr>
        <w:t xml:space="preserve">El </w:t>
      </w:r>
      <w:r w:rsidR="00B76911">
        <w:rPr>
          <w:rFonts w:ascii="Arial" w:hAnsi="Arial" w:cs="Arial"/>
        </w:rPr>
        <w:t>A</w:t>
      </w:r>
      <w:r w:rsidRPr="00A00028">
        <w:rPr>
          <w:rFonts w:ascii="Arial" w:hAnsi="Arial" w:cs="Arial"/>
        </w:rPr>
        <w:t>rtículo 18, inciso k, del Estatuto Orgánico</w:t>
      </w:r>
      <w:r w:rsidR="00B76911">
        <w:rPr>
          <w:rFonts w:ascii="Arial" w:hAnsi="Arial" w:cs="Arial"/>
        </w:rPr>
        <w:t>,</w:t>
      </w:r>
      <w:r w:rsidRPr="00A00028">
        <w:rPr>
          <w:rFonts w:ascii="Arial" w:hAnsi="Arial" w:cs="Arial"/>
        </w:rPr>
        <w:t xml:space="preserve"> dispone como función del Consejo Institucional, la siguiente: </w:t>
      </w:r>
    </w:p>
    <w:p w:rsidR="00A00028" w:rsidRPr="00A00028" w:rsidRDefault="00A00028" w:rsidP="00A00028">
      <w:pPr>
        <w:autoSpaceDE w:val="0"/>
        <w:autoSpaceDN w:val="0"/>
        <w:adjustRightInd w:val="0"/>
        <w:ind w:left="825"/>
        <w:rPr>
          <w:rFonts w:ascii="Arial" w:hAnsi="Arial" w:cs="Arial"/>
        </w:rPr>
      </w:pPr>
    </w:p>
    <w:p w:rsidR="00A00028" w:rsidRDefault="00A00028" w:rsidP="00A00028">
      <w:pPr>
        <w:autoSpaceDE w:val="0"/>
        <w:autoSpaceDN w:val="0"/>
        <w:adjustRightInd w:val="0"/>
        <w:ind w:left="825"/>
        <w:rPr>
          <w:rFonts w:ascii="Arial" w:hAnsi="Arial" w:cs="Arial"/>
          <w:i/>
          <w:sz w:val="22"/>
          <w:szCs w:val="22"/>
        </w:rPr>
      </w:pPr>
      <w:r w:rsidRPr="00A00028">
        <w:rPr>
          <w:rFonts w:ascii="Arial" w:hAnsi="Arial" w:cs="Arial"/>
          <w:i/>
          <w:sz w:val="22"/>
          <w:szCs w:val="22"/>
        </w:rPr>
        <w:t>“Velar por el trato justo a todos los miembros de la Comunidad del Instituto”</w:t>
      </w:r>
      <w:r>
        <w:rPr>
          <w:rFonts w:ascii="Arial" w:hAnsi="Arial" w:cs="Arial"/>
          <w:i/>
          <w:sz w:val="22"/>
          <w:szCs w:val="22"/>
        </w:rPr>
        <w:t>.</w:t>
      </w:r>
    </w:p>
    <w:p w:rsidR="00A00028" w:rsidRPr="00A00028" w:rsidRDefault="00A00028" w:rsidP="00A00028">
      <w:pPr>
        <w:autoSpaceDE w:val="0"/>
        <w:autoSpaceDN w:val="0"/>
        <w:adjustRightInd w:val="0"/>
        <w:ind w:left="825"/>
        <w:rPr>
          <w:rFonts w:ascii="Arial" w:hAnsi="Arial" w:cs="Arial"/>
          <w:i/>
          <w:sz w:val="22"/>
          <w:szCs w:val="22"/>
        </w:rPr>
      </w:pPr>
    </w:p>
    <w:p w:rsidR="00A00028" w:rsidRPr="00A00028" w:rsidRDefault="00A00028" w:rsidP="00A00028">
      <w:pPr>
        <w:spacing w:after="240"/>
        <w:rPr>
          <w:rFonts w:ascii="Arial" w:hAnsi="Arial" w:cs="Arial"/>
          <w:b/>
        </w:rPr>
      </w:pPr>
      <w:r w:rsidRPr="00A00028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ACUERDA</w:t>
      </w:r>
      <w:r w:rsidRPr="00A00028">
        <w:rPr>
          <w:rFonts w:ascii="Arial" w:hAnsi="Arial" w:cs="Arial"/>
          <w:b/>
        </w:rPr>
        <w:t>:</w:t>
      </w:r>
    </w:p>
    <w:p w:rsidR="00A00028" w:rsidRPr="00A00028" w:rsidRDefault="00A00028" w:rsidP="00A00028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>Ratificar al ITCR, como espacio libre de discriminación.</w:t>
      </w:r>
    </w:p>
    <w:p w:rsidR="00A00028" w:rsidRPr="00A00028" w:rsidRDefault="00A00028" w:rsidP="00A00028">
      <w:pPr>
        <w:autoSpaceDE w:val="0"/>
        <w:autoSpaceDN w:val="0"/>
        <w:adjustRightInd w:val="0"/>
        <w:ind w:left="1320" w:right="-1"/>
        <w:contextualSpacing/>
        <w:rPr>
          <w:rFonts w:ascii="Calibri" w:eastAsia="Calibri" w:hAnsi="Calibri" w:cs="Calibri"/>
          <w:sz w:val="16"/>
          <w:szCs w:val="16"/>
          <w:lang w:val="es-CR" w:eastAsia="en-US"/>
        </w:rPr>
      </w:pPr>
    </w:p>
    <w:p w:rsidR="00A00028" w:rsidRPr="00A00028" w:rsidRDefault="00A00028" w:rsidP="00A00028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>Reiterar el compromiso del ITCR</w:t>
      </w:r>
      <w:r>
        <w:rPr>
          <w:rFonts w:ascii="Arial" w:hAnsi="Arial" w:cs="Arial"/>
          <w:lang w:eastAsia="es-CR"/>
        </w:rPr>
        <w:t>,</w:t>
      </w:r>
      <w:r w:rsidRPr="00A00028">
        <w:rPr>
          <w:rFonts w:ascii="Arial" w:hAnsi="Arial" w:cs="Arial"/>
          <w:lang w:eastAsia="es-CR"/>
        </w:rPr>
        <w:t xml:space="preserve"> con el respeto de los derechos humanos de todas las personas, así como con la eliminación de todas las formas de discriminación existentes. </w:t>
      </w:r>
    </w:p>
    <w:p w:rsidR="00A00028" w:rsidRPr="00A00028" w:rsidRDefault="00A00028" w:rsidP="00A00028">
      <w:pPr>
        <w:autoSpaceDE w:val="0"/>
        <w:autoSpaceDN w:val="0"/>
        <w:adjustRightInd w:val="0"/>
        <w:ind w:left="1320" w:right="-1"/>
        <w:contextualSpacing/>
        <w:rPr>
          <w:rFonts w:ascii="Calibri" w:eastAsia="Calibri" w:hAnsi="Calibri" w:cs="Calibri"/>
          <w:sz w:val="16"/>
          <w:szCs w:val="16"/>
          <w:lang w:val="es-CR" w:eastAsia="en-US"/>
        </w:rPr>
      </w:pPr>
    </w:p>
    <w:p w:rsidR="00A00028" w:rsidRPr="00A00028" w:rsidRDefault="00A00028" w:rsidP="00A00028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>Deplorar</w:t>
      </w:r>
      <w:r w:rsidRPr="00A00028">
        <w:rPr>
          <w:rFonts w:ascii="Arial" w:hAnsi="Arial" w:cs="Arial"/>
        </w:rPr>
        <w:t xml:space="preserve"> los actos racistas y xenofóbicos que se presentaron el sábado 18 de agosto de 2018, en diferentes puntos del territorio nacional.</w:t>
      </w:r>
    </w:p>
    <w:p w:rsidR="00A00028" w:rsidRPr="00A00028" w:rsidRDefault="00A00028" w:rsidP="00A00028">
      <w:pPr>
        <w:autoSpaceDE w:val="0"/>
        <w:autoSpaceDN w:val="0"/>
        <w:adjustRightInd w:val="0"/>
        <w:ind w:left="1320" w:right="-1"/>
        <w:contextualSpacing/>
        <w:rPr>
          <w:rFonts w:ascii="Calibri" w:eastAsia="Calibri" w:hAnsi="Calibri" w:cs="Calibri"/>
          <w:sz w:val="16"/>
          <w:szCs w:val="16"/>
          <w:lang w:val="es-CR" w:eastAsia="en-US"/>
        </w:rPr>
      </w:pPr>
    </w:p>
    <w:p w:rsidR="00A00028" w:rsidRPr="00A00028" w:rsidRDefault="00A00028" w:rsidP="00A00028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>Exhortar al Pueblo Costarricense</w:t>
      </w:r>
      <w:r w:rsidR="00B76911">
        <w:rPr>
          <w:rFonts w:ascii="Arial" w:hAnsi="Arial" w:cs="Arial"/>
          <w:lang w:eastAsia="es-CR"/>
        </w:rPr>
        <w:t>,</w:t>
      </w:r>
      <w:r w:rsidRPr="00A00028">
        <w:rPr>
          <w:rFonts w:ascii="Arial" w:hAnsi="Arial" w:cs="Arial"/>
          <w:lang w:eastAsia="es-CR"/>
        </w:rPr>
        <w:t xml:space="preserve"> a continuar construyendo una cultura de tolerancia, en la que las posiciones racistas, xenofóbicas y de odio hacia grupos emigrantes no tengan cabida.</w:t>
      </w:r>
    </w:p>
    <w:p w:rsidR="00A00028" w:rsidRPr="00A00028" w:rsidRDefault="00A00028" w:rsidP="00A00028">
      <w:pPr>
        <w:autoSpaceDE w:val="0"/>
        <w:autoSpaceDN w:val="0"/>
        <w:adjustRightInd w:val="0"/>
        <w:ind w:left="1320" w:right="-1"/>
        <w:contextualSpacing/>
        <w:rPr>
          <w:rFonts w:ascii="Calibri" w:eastAsia="Calibri" w:hAnsi="Calibri" w:cs="Calibri"/>
          <w:sz w:val="16"/>
          <w:szCs w:val="16"/>
          <w:lang w:val="es-CR" w:eastAsia="en-US"/>
        </w:rPr>
      </w:pPr>
    </w:p>
    <w:p w:rsidR="00A00028" w:rsidRPr="00A00028" w:rsidRDefault="00A00028" w:rsidP="00A00028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 xml:space="preserve">Fomentar una cultura de respeto a las diferencias de las personas. </w:t>
      </w:r>
    </w:p>
    <w:p w:rsidR="00A00028" w:rsidRPr="00A00028" w:rsidRDefault="00A00028" w:rsidP="00A00028">
      <w:pPr>
        <w:autoSpaceDE w:val="0"/>
        <w:autoSpaceDN w:val="0"/>
        <w:adjustRightInd w:val="0"/>
        <w:ind w:left="1320" w:right="-1"/>
        <w:contextualSpacing/>
        <w:rPr>
          <w:rFonts w:ascii="Calibri" w:eastAsia="Calibri" w:hAnsi="Calibri" w:cs="Calibri"/>
          <w:sz w:val="16"/>
          <w:szCs w:val="16"/>
          <w:lang w:val="es-CR" w:eastAsia="en-US"/>
        </w:rPr>
      </w:pPr>
    </w:p>
    <w:p w:rsidR="00A00028" w:rsidRPr="00A00028" w:rsidRDefault="00A00028" w:rsidP="00A00028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 xml:space="preserve">Impulsar a las diferentes instancias </w:t>
      </w:r>
      <w:r w:rsidR="00B76911">
        <w:rPr>
          <w:rFonts w:ascii="Arial" w:hAnsi="Arial" w:cs="Arial"/>
          <w:lang w:eastAsia="es-CR"/>
        </w:rPr>
        <w:t>I</w:t>
      </w:r>
      <w:r w:rsidRPr="00A00028">
        <w:rPr>
          <w:rFonts w:ascii="Arial" w:hAnsi="Arial" w:cs="Arial"/>
          <w:lang w:eastAsia="es-CR"/>
        </w:rPr>
        <w:t>nstitucionales</w:t>
      </w:r>
      <w:r w:rsidR="00B76911">
        <w:rPr>
          <w:rFonts w:ascii="Arial" w:hAnsi="Arial" w:cs="Arial"/>
          <w:lang w:eastAsia="es-CR"/>
        </w:rPr>
        <w:t>,</w:t>
      </w:r>
      <w:r w:rsidRPr="00A00028">
        <w:rPr>
          <w:rFonts w:ascii="Arial" w:hAnsi="Arial" w:cs="Arial"/>
          <w:lang w:eastAsia="es-CR"/>
        </w:rPr>
        <w:t xml:space="preserve"> a dedicar espacios de reflexión, que contribuyan al fortalecimiento de una cultura de paz y libre de posiciones xenofóbicas. </w:t>
      </w:r>
    </w:p>
    <w:p w:rsidR="00A00028" w:rsidRPr="00A00028" w:rsidRDefault="00A00028" w:rsidP="00A00028">
      <w:pPr>
        <w:autoSpaceDE w:val="0"/>
        <w:autoSpaceDN w:val="0"/>
        <w:adjustRightInd w:val="0"/>
        <w:ind w:left="1320" w:right="-1"/>
        <w:contextualSpacing/>
        <w:rPr>
          <w:rFonts w:ascii="Calibri" w:eastAsia="Calibri" w:hAnsi="Calibri" w:cs="Calibri"/>
          <w:sz w:val="16"/>
          <w:szCs w:val="16"/>
          <w:lang w:val="es-CR" w:eastAsia="en-US"/>
        </w:rPr>
      </w:pPr>
    </w:p>
    <w:p w:rsidR="00A00028" w:rsidRPr="00A00028" w:rsidRDefault="00A00028" w:rsidP="00A00028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>Estimular a las Profesoras y a los Profesores a dedicar, en el periodo comprendido entre el 23 y el 29 de agosto de 2018, un momento en las lecciones para propiciar un espacio de reflexión con sus estudiantes, sobre la importancia de la cultura de paz libre de posiciones xenofóbicas.</w:t>
      </w:r>
    </w:p>
    <w:p w:rsidR="00A00028" w:rsidRPr="00A00028" w:rsidRDefault="00A00028" w:rsidP="00A00028">
      <w:pPr>
        <w:ind w:left="720"/>
        <w:contextualSpacing/>
        <w:rPr>
          <w:rFonts w:ascii="Arial" w:hAnsi="Arial" w:cs="Arial"/>
          <w:lang w:eastAsia="es-CR"/>
        </w:rPr>
      </w:pPr>
    </w:p>
    <w:p w:rsidR="00A00028" w:rsidRPr="00B76911" w:rsidRDefault="00A00028" w:rsidP="007742A1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  <w:lang w:eastAsia="es-CR"/>
        </w:rPr>
      </w:pPr>
      <w:r w:rsidRPr="00A00028">
        <w:rPr>
          <w:rFonts w:ascii="Arial" w:hAnsi="Arial" w:cs="Arial"/>
          <w:lang w:eastAsia="es-CR"/>
        </w:rPr>
        <w:t>Comunicar a los Consejos Universitarios, CONARE, Comunidad Institucional</w:t>
      </w:r>
      <w:r w:rsidR="00B76911" w:rsidRPr="00B76911">
        <w:rPr>
          <w:rFonts w:ascii="Arial" w:hAnsi="Arial" w:cs="Arial"/>
          <w:lang w:eastAsia="es-CR"/>
        </w:rPr>
        <w:t>.</w:t>
      </w:r>
    </w:p>
    <w:p w:rsidR="002B4AA8" w:rsidRDefault="002B4AA8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B6A5E" w:rsidRPr="00B76911" w:rsidRDefault="00BB6A5E" w:rsidP="00B76911">
      <w:pPr>
        <w:numPr>
          <w:ilvl w:val="0"/>
          <w:numId w:val="24"/>
        </w:numPr>
        <w:ind w:left="378" w:right="-1" w:hanging="357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B76911" w:rsidRDefault="00B76911" w:rsidP="00B76911">
      <w:pPr>
        <w:pStyle w:val="Prrafodelista"/>
        <w:rPr>
          <w:rFonts w:ascii="Arial" w:hAnsi="Arial" w:cs="Arial"/>
        </w:rPr>
      </w:pPr>
    </w:p>
    <w:p w:rsidR="00B76911" w:rsidRDefault="00B76911" w:rsidP="00B76911">
      <w:pPr>
        <w:ind w:right="-1"/>
        <w:jc w:val="both"/>
        <w:rPr>
          <w:rFonts w:ascii="Arial" w:hAnsi="Arial" w:cs="Arial"/>
        </w:rPr>
      </w:pPr>
    </w:p>
    <w:p w:rsidR="00B76911" w:rsidRPr="00ED1939" w:rsidRDefault="00B76911" w:rsidP="00B76911">
      <w:pPr>
        <w:ind w:right="-1"/>
        <w:jc w:val="both"/>
        <w:rPr>
          <w:rFonts w:ascii="Arial" w:hAnsi="Arial" w:cs="Arial"/>
        </w:rPr>
      </w:pPr>
    </w:p>
    <w:p w:rsidR="00ED1939" w:rsidRPr="00B17C67" w:rsidRDefault="00ED1939" w:rsidP="00ED1939">
      <w:pPr>
        <w:ind w:left="392" w:right="-91"/>
        <w:jc w:val="both"/>
        <w:rPr>
          <w:rFonts w:ascii="Arial" w:hAnsi="Arial" w:cs="Arial"/>
        </w:rPr>
      </w:pPr>
    </w:p>
    <w:p w:rsidR="00ED1939" w:rsidRPr="00B76911" w:rsidRDefault="00B76911" w:rsidP="00B76911">
      <w:pPr>
        <w:keepNext/>
        <w:ind w:right="567"/>
        <w:jc w:val="both"/>
        <w:outlineLvl w:val="0"/>
        <w:rPr>
          <w:rFonts w:ascii="Arial" w:hAnsi="Arial" w:cs="Arial"/>
          <w:b/>
          <w:lang w:eastAsia="es-CR"/>
        </w:rPr>
      </w:pPr>
      <w:r w:rsidRPr="00A00028">
        <w:rPr>
          <w:rFonts w:ascii="Arial" w:hAnsi="Arial" w:cs="Arial"/>
          <w:b/>
          <w:lang w:eastAsia="es-CR"/>
        </w:rPr>
        <w:lastRenderedPageBreak/>
        <w:t xml:space="preserve">Palabras Clave: Pronunciamiento – CI – contra - actos - Xenofobia </w:t>
      </w:r>
    </w:p>
    <w:p w:rsidR="00BB6A5E" w:rsidRPr="00455473" w:rsidRDefault="00BB6A5E" w:rsidP="00455473">
      <w:pPr>
        <w:jc w:val="both"/>
        <w:rPr>
          <w:rFonts w:ascii="Arial" w:eastAsia="Calibri" w:hAnsi="Arial" w:cs="Arial"/>
          <w:b/>
          <w:sz w:val="22"/>
          <w:szCs w:val="22"/>
          <w:lang w:val="es-CR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2C0D34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Default="00956670" w:rsidP="004F270B">
      <w:pPr>
        <w:jc w:val="both"/>
        <w:rPr>
          <w:rFonts w:ascii="Arial" w:hAnsi="Arial" w:cs="Arial"/>
          <w:b/>
          <w:sz w:val="16"/>
          <w:szCs w:val="16"/>
          <w:lang w:val="es-CR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4F270B" w:rsidRDefault="004F270B" w:rsidP="004F270B">
      <w:pPr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4F270B" w:rsidRPr="004F270B" w:rsidRDefault="004F270B" w:rsidP="004F270B">
      <w:pPr>
        <w:jc w:val="both"/>
        <w:rPr>
          <w:rFonts w:ascii="Arial" w:eastAsia="Cambria" w:hAnsi="Arial" w:cs="Arial"/>
          <w:b/>
          <w:sz w:val="16"/>
          <w:szCs w:val="16"/>
          <w:lang w:eastAsia="en-US"/>
        </w:rPr>
      </w:pPr>
    </w:p>
    <w:p w:rsidR="00F41044" w:rsidRDefault="00F41044" w:rsidP="00F41044">
      <w:pPr>
        <w:jc w:val="both"/>
        <w:rPr>
          <w:rFonts w:ascii="Arial" w:hAnsi="Arial" w:cs="Arial"/>
          <w:lang w:val="es-CR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p w:rsidR="002C0D34" w:rsidRPr="00F41044" w:rsidRDefault="002C0D3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sectPr w:rsidR="002C0D3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C5" w:rsidRDefault="00D824C5">
      <w:r>
        <w:separator/>
      </w:r>
    </w:p>
  </w:endnote>
  <w:endnote w:type="continuationSeparator" w:id="0">
    <w:p w:rsidR="00D824C5" w:rsidRDefault="00D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C5" w:rsidRDefault="00D824C5">
      <w:r>
        <w:separator/>
      </w:r>
    </w:p>
  </w:footnote>
  <w:footnote w:type="continuationSeparator" w:id="0">
    <w:p w:rsidR="00D824C5" w:rsidRDefault="00D8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E64C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2A2C01">
      <w:rPr>
        <w:rFonts w:ascii="Arial" w:eastAsia="Cambria" w:hAnsi="Arial" w:cs="Arial"/>
        <w:i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ED193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B76911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="00C852D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2A2C01">
      <w:rPr>
        <w:rFonts w:ascii="Arial" w:eastAsia="Cambria" w:hAnsi="Arial" w:cs="Arial"/>
        <w:i/>
        <w:sz w:val="18"/>
        <w:szCs w:val="18"/>
        <w:lang w:val="es-ES_tradnl" w:eastAsia="x-none"/>
      </w:rPr>
      <w:t>22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C852DC">
      <w:rPr>
        <w:rFonts w:ascii="Arial" w:eastAsia="Cambria" w:hAnsi="Arial" w:cs="Arial"/>
        <w:i/>
        <w:sz w:val="18"/>
        <w:szCs w:val="18"/>
        <w:lang w:val="es-ES_tradnl" w:eastAsia="x-none"/>
      </w:rPr>
      <w:t>agosto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1B06D1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700B"/>
    <w:multiLevelType w:val="hybridMultilevel"/>
    <w:tmpl w:val="F548600E"/>
    <w:lvl w:ilvl="0" w:tplc="5BCE5E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607CA"/>
    <w:multiLevelType w:val="hybridMultilevel"/>
    <w:tmpl w:val="00DEC530"/>
    <w:lvl w:ilvl="0" w:tplc="3C6AFB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i w:val="0"/>
        <w:color w:val="auto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21202"/>
    <w:multiLevelType w:val="hybridMultilevel"/>
    <w:tmpl w:val="CF2C5BA6"/>
    <w:lvl w:ilvl="0" w:tplc="5DE4584C">
      <w:start w:val="1"/>
      <w:numFmt w:val="lowerLetter"/>
      <w:lvlText w:val="%1."/>
      <w:lvlJc w:val="left"/>
      <w:pPr>
        <w:ind w:left="7056" w:hanging="9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40DFF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16"/>
  </w:num>
  <w:num w:numId="5">
    <w:abstractNumId w:val="0"/>
  </w:num>
  <w:num w:numId="6">
    <w:abstractNumId w:val="10"/>
  </w:num>
  <w:num w:numId="7">
    <w:abstractNumId w:val="24"/>
  </w:num>
  <w:num w:numId="8">
    <w:abstractNumId w:val="23"/>
  </w:num>
  <w:num w:numId="9">
    <w:abstractNumId w:val="11"/>
  </w:num>
  <w:num w:numId="10">
    <w:abstractNumId w:val="6"/>
  </w:num>
  <w:num w:numId="11">
    <w:abstractNumId w:val="20"/>
  </w:num>
  <w:num w:numId="12">
    <w:abstractNumId w:val="21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  <w:num w:numId="20">
    <w:abstractNumId w:val="19"/>
  </w:num>
  <w:num w:numId="21">
    <w:abstractNumId w:val="7"/>
  </w:num>
  <w:num w:numId="22">
    <w:abstractNumId w:val="15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06D1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2FA7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2C01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BBE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5BF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888"/>
    <w:rsid w:val="00487C3B"/>
    <w:rsid w:val="00492457"/>
    <w:rsid w:val="0049324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26D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270B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16672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05AFA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028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3644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76911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52D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24C5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09A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15E5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C68D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EF3F-44BA-4C12-AB2D-4A122610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41</cp:revision>
  <cp:lastPrinted>2018-08-22T21:16:00Z</cp:lastPrinted>
  <dcterms:created xsi:type="dcterms:W3CDTF">2018-05-02T21:37:00Z</dcterms:created>
  <dcterms:modified xsi:type="dcterms:W3CDTF">2018-08-23T14:48:00Z</dcterms:modified>
</cp:coreProperties>
</file>