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316A4D">
        <w:rPr>
          <w:rFonts w:ascii="Arial" w:hAnsi="Arial" w:cs="Arial"/>
          <w:b/>
          <w:bCs/>
          <w:iCs/>
          <w:sz w:val="26"/>
          <w:szCs w:val="22"/>
          <w:lang w:val="es-CR"/>
        </w:rPr>
        <w:t>925</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Pr="001547B6" w:rsidRDefault="00F52439" w:rsidP="00456ABA">
            <w:pPr>
              <w:jc w:val="both"/>
              <w:rPr>
                <w:rFonts w:ascii="Arial" w:eastAsia="Cambria" w:hAnsi="Arial" w:cs="Arial"/>
                <w:sz w:val="22"/>
                <w:szCs w:val="22"/>
                <w:lang w:val="es-ES_tradnl" w:eastAsia="en-US"/>
              </w:rPr>
            </w:pPr>
            <w:r w:rsidRPr="001547B6">
              <w:rPr>
                <w:rFonts w:ascii="Arial" w:eastAsia="Cambria" w:hAnsi="Arial" w:cs="Arial"/>
                <w:sz w:val="22"/>
                <w:szCs w:val="22"/>
                <w:lang w:val="es-ES_tradnl" w:eastAsia="en-US"/>
              </w:rPr>
              <w:t>Dr. Julio Calvo Alvarado</w:t>
            </w:r>
            <w:r w:rsidR="0090700F" w:rsidRPr="001547B6">
              <w:rPr>
                <w:rFonts w:ascii="Arial" w:eastAsia="Cambria" w:hAnsi="Arial" w:cs="Arial"/>
                <w:sz w:val="22"/>
                <w:szCs w:val="22"/>
                <w:lang w:val="es-ES_tradnl" w:eastAsia="en-US"/>
              </w:rPr>
              <w:t>, Rector</w:t>
            </w:r>
            <w:r w:rsidR="00974D66" w:rsidRPr="001547B6">
              <w:rPr>
                <w:rFonts w:ascii="Arial" w:eastAsia="Cambria" w:hAnsi="Arial" w:cs="Arial"/>
                <w:sz w:val="22"/>
                <w:szCs w:val="22"/>
                <w:lang w:val="es-ES_tradnl" w:eastAsia="en-US"/>
              </w:rPr>
              <w:t xml:space="preserve"> </w:t>
            </w:r>
          </w:p>
          <w:p w:rsidR="001547B6" w:rsidRPr="005D359E" w:rsidRDefault="00316A4D" w:rsidP="00C34FD2">
            <w:pPr>
              <w:jc w:val="both"/>
              <w:rPr>
                <w:rFonts w:ascii="Arial" w:hAnsi="Arial" w:cs="Arial"/>
                <w:sz w:val="22"/>
                <w:szCs w:val="22"/>
                <w:lang w:val="es-ES_tradnl"/>
              </w:rPr>
            </w:pPr>
            <w:r w:rsidRPr="00316A4D">
              <w:rPr>
                <w:rFonts w:ascii="Arial" w:hAnsi="Arial" w:cs="Arial"/>
                <w:sz w:val="22"/>
                <w:szCs w:val="22"/>
                <w:lang w:val="es-ES_tradnl"/>
              </w:rPr>
              <w:t>Ing. Osvaldo Guerrero Castro, Presidente de la Comisión de Evaluación</w:t>
            </w:r>
          </w:p>
          <w:p w:rsidR="005D359E" w:rsidRDefault="005D359E" w:rsidP="00C34FD2">
            <w:pPr>
              <w:jc w:val="both"/>
              <w:rPr>
                <w:rFonts w:ascii="Arial" w:hAnsi="Arial" w:cs="Arial"/>
                <w:sz w:val="22"/>
                <w:szCs w:val="22"/>
                <w:lang w:val="es-ES_tradnl"/>
              </w:rPr>
            </w:pPr>
            <w:r w:rsidRPr="00316A4D">
              <w:rPr>
                <w:rFonts w:ascii="Arial" w:hAnsi="Arial" w:cs="Arial"/>
                <w:sz w:val="22"/>
                <w:szCs w:val="22"/>
                <w:lang w:val="es-ES_tradnl"/>
              </w:rPr>
              <w:t>Sra. Beatriz Bonilla Brenes, Presidenta de la Comisión de Carrera Administrativa y de Apoyo a la Academia</w:t>
            </w:r>
          </w:p>
          <w:p w:rsidR="005D359E" w:rsidRPr="005D359E" w:rsidRDefault="005D359E" w:rsidP="00C34FD2">
            <w:pPr>
              <w:jc w:val="both"/>
              <w:rPr>
                <w:rFonts w:ascii="Arial" w:eastAsia="Cambria" w:hAnsi="Arial" w:cs="Arial"/>
                <w:sz w:val="22"/>
                <w:szCs w:val="22"/>
                <w:lang w:val="es-ES_tradnl" w:eastAsia="en-US"/>
              </w:rPr>
            </w:pPr>
            <w:r>
              <w:rPr>
                <w:rFonts w:ascii="Arial" w:hAnsi="Arial" w:cs="Arial"/>
                <w:sz w:val="22"/>
                <w:szCs w:val="22"/>
                <w:lang w:val="es-ES_tradnl"/>
              </w:rPr>
              <w:t>MAU. Tatiana Fernández Martín, Directora Oficina de Planificación Institucional</w:t>
            </w:r>
            <w:bookmarkStart w:id="0" w:name="_GoBack"/>
            <w:bookmarkEnd w:id="0"/>
          </w:p>
          <w:p w:rsidR="001547B6" w:rsidRPr="00F548D2" w:rsidRDefault="001547B6" w:rsidP="00C34FD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16A4D"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316A4D" w:rsidRDefault="00FF209C" w:rsidP="00316A4D">
            <w:pPr>
              <w:ind w:firstLine="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30</w:t>
            </w:r>
            <w:r w:rsidR="008F0835" w:rsidRPr="008F0835">
              <w:rPr>
                <w:rFonts w:ascii="Arial" w:eastAsia="Calibri" w:hAnsi="Arial" w:cs="Arial"/>
                <w:b/>
                <w:sz w:val="22"/>
                <w:szCs w:val="22"/>
              </w:rPr>
              <w:t>9</w:t>
            </w:r>
            <w:r w:rsidR="00316A4D">
              <w:rPr>
                <w:rFonts w:ascii="Arial" w:eastAsia="Calibri" w:hAnsi="Arial" w:cs="Arial"/>
                <w:b/>
                <w:sz w:val="22"/>
                <w:szCs w:val="22"/>
              </w:rPr>
              <w:t>6</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34FD2">
              <w:rPr>
                <w:rFonts w:ascii="Arial" w:eastAsia="Calibri" w:hAnsi="Arial" w:cs="Arial"/>
                <w:b/>
                <w:sz w:val="22"/>
                <w:szCs w:val="22"/>
              </w:rPr>
              <w:t>1</w:t>
            </w:r>
            <w:r w:rsidR="00316A4D">
              <w:rPr>
                <w:rFonts w:ascii="Arial" w:eastAsia="Calibri" w:hAnsi="Arial" w:cs="Arial"/>
                <w:b/>
                <w:sz w:val="22"/>
                <w:szCs w:val="22"/>
              </w:rPr>
              <w:t>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316A4D">
              <w:rPr>
                <w:rFonts w:ascii="Arial" w:eastAsia="Calibri" w:hAnsi="Arial" w:cs="Arial"/>
                <w:b/>
                <w:sz w:val="22"/>
                <w:szCs w:val="22"/>
              </w:rPr>
              <w:t xml:space="preserve">07 de noviembre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C34FD2">
              <w:rPr>
                <w:rFonts w:ascii="Arial" w:eastAsia="Calibri" w:hAnsi="Arial" w:cs="Arial"/>
                <w:b/>
                <w:sz w:val="22"/>
                <w:szCs w:val="22"/>
              </w:rPr>
              <w:t xml:space="preserve"> </w:t>
            </w:r>
            <w:r w:rsidR="00316A4D" w:rsidRPr="00316A4D">
              <w:rPr>
                <w:rFonts w:ascii="Arial" w:eastAsia="Cambria" w:hAnsi="Arial" w:cs="Arial"/>
                <w:b/>
                <w:bCs/>
                <w:sz w:val="22"/>
                <w:szCs w:val="22"/>
                <w:lang w:val="es-CR" w:eastAsia="en-US"/>
              </w:rPr>
              <w:t>Suspensión definitiva del trámite de la propuesta de “Reglamento de Carrera de Méritos del ITCR” elaborada por la Comisión de Planificación y Administración, según consulta a la Comunidad Institucional, mediante acuerdo del Consejo Institucional, Sesión Ordinaria No. 3078, Artículo 12, del 27 de junio de 2018</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1547B6" w:rsidRDefault="001547B6" w:rsidP="007742A1">
      <w:pPr>
        <w:jc w:val="both"/>
        <w:rPr>
          <w:rFonts w:ascii="Arial" w:eastAsia="Cambria" w:hAnsi="Arial" w:cs="Arial"/>
          <w:lang w:val="es-ES_tradnl" w:eastAsia="en-US"/>
        </w:rPr>
      </w:pPr>
    </w:p>
    <w:p w:rsidR="00316A4D" w:rsidRPr="00316A4D" w:rsidRDefault="00316A4D" w:rsidP="00316A4D">
      <w:pPr>
        <w:tabs>
          <w:tab w:val="left" w:pos="3070"/>
        </w:tabs>
        <w:contextualSpacing/>
        <w:jc w:val="both"/>
        <w:outlineLvl w:val="0"/>
        <w:rPr>
          <w:rFonts w:ascii="Arial" w:hAnsi="Arial" w:cs="Arial"/>
          <w:b/>
          <w:lang w:val="es-CR"/>
        </w:rPr>
      </w:pPr>
      <w:r w:rsidRPr="00316A4D">
        <w:rPr>
          <w:rFonts w:ascii="Arial" w:hAnsi="Arial" w:cs="Arial"/>
          <w:b/>
          <w:lang w:val="es-CR"/>
        </w:rPr>
        <w:t>RESULTANDO QUE:</w:t>
      </w:r>
    </w:p>
    <w:p w:rsidR="00316A4D" w:rsidRPr="00316A4D" w:rsidRDefault="00316A4D" w:rsidP="00316A4D">
      <w:pPr>
        <w:tabs>
          <w:tab w:val="left" w:pos="3070"/>
        </w:tabs>
        <w:contextualSpacing/>
        <w:jc w:val="both"/>
        <w:outlineLvl w:val="0"/>
        <w:rPr>
          <w:rFonts w:cs="Arial"/>
          <w:b/>
          <w:lang w:val="es-CR"/>
        </w:rPr>
      </w:pPr>
    </w:p>
    <w:p w:rsidR="00316A4D" w:rsidRPr="00316A4D" w:rsidRDefault="00316A4D" w:rsidP="00316A4D">
      <w:pPr>
        <w:numPr>
          <w:ilvl w:val="0"/>
          <w:numId w:val="34"/>
        </w:numPr>
        <w:tabs>
          <w:tab w:val="num" w:pos="465"/>
        </w:tabs>
        <w:ind w:left="465"/>
        <w:jc w:val="both"/>
        <w:rPr>
          <w:rFonts w:ascii="Arial" w:hAnsi="Arial"/>
          <w:lang w:val="es-CR"/>
        </w:rPr>
      </w:pPr>
      <w:r w:rsidRPr="00316A4D">
        <w:rPr>
          <w:rFonts w:ascii="Arial" w:hAnsi="Arial"/>
          <w:lang w:val="es-CR"/>
        </w:rPr>
        <w:t>El Estatuto Orgánico del Instituto Tecnológico de Costa Rica</w:t>
      </w:r>
      <w:r>
        <w:rPr>
          <w:rFonts w:ascii="Arial" w:hAnsi="Arial"/>
          <w:lang w:val="es-CR"/>
        </w:rPr>
        <w:t xml:space="preserve">, </w:t>
      </w:r>
      <w:r w:rsidRPr="00316A4D">
        <w:rPr>
          <w:rFonts w:ascii="Arial" w:hAnsi="Arial"/>
          <w:lang w:val="es-CR"/>
        </w:rPr>
        <w:t xml:space="preserve">en su </w:t>
      </w:r>
      <w:r>
        <w:rPr>
          <w:rFonts w:ascii="Arial" w:hAnsi="Arial"/>
          <w:lang w:val="es-CR"/>
        </w:rPr>
        <w:t>A</w:t>
      </w:r>
      <w:r w:rsidRPr="00316A4D">
        <w:rPr>
          <w:rFonts w:ascii="Arial" w:hAnsi="Arial"/>
          <w:lang w:val="es-CR"/>
        </w:rPr>
        <w:t>rtículo 18, señala:</w:t>
      </w:r>
    </w:p>
    <w:p w:rsidR="00316A4D" w:rsidRPr="00316A4D" w:rsidRDefault="00316A4D" w:rsidP="00316A4D">
      <w:pPr>
        <w:jc w:val="both"/>
        <w:rPr>
          <w:rFonts w:ascii="Arial" w:hAnsi="Arial"/>
          <w:sz w:val="16"/>
          <w:szCs w:val="16"/>
          <w:lang w:val="es-CR"/>
        </w:rPr>
      </w:pPr>
    </w:p>
    <w:p w:rsidR="00316A4D" w:rsidRPr="00316A4D" w:rsidRDefault="00316A4D" w:rsidP="00316A4D">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“Son funciones del Consejo Institucional:</w:t>
      </w:r>
    </w:p>
    <w:p w:rsidR="00316A4D" w:rsidRPr="00316A4D" w:rsidRDefault="00316A4D" w:rsidP="00316A4D">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w:t>
      </w:r>
    </w:p>
    <w:p w:rsidR="00316A4D" w:rsidRPr="00316A4D" w:rsidRDefault="00316A4D" w:rsidP="00316A4D">
      <w:pPr>
        <w:overflowPunct w:val="0"/>
        <w:autoSpaceDE w:val="0"/>
        <w:autoSpaceDN w:val="0"/>
        <w:adjustRightInd w:val="0"/>
        <w:ind w:left="1276" w:right="618" w:hanging="426"/>
        <w:jc w:val="both"/>
        <w:textAlignment w:val="baseline"/>
        <w:rPr>
          <w:rFonts w:ascii="Arial" w:hAnsi="Arial" w:cs="Arial"/>
          <w:i/>
          <w:sz w:val="22"/>
          <w:szCs w:val="22"/>
          <w:lang w:val="es-CR"/>
        </w:rPr>
      </w:pPr>
      <w:r w:rsidRPr="00316A4D">
        <w:rPr>
          <w:rFonts w:ascii="Arial" w:hAnsi="Arial" w:cs="Arial"/>
          <w:i/>
          <w:sz w:val="22"/>
          <w:szCs w:val="22"/>
          <w:lang w:val="es-CR"/>
        </w:rPr>
        <w:t>f.</w:t>
      </w:r>
      <w:r w:rsidRPr="00316A4D">
        <w:rPr>
          <w:rFonts w:ascii="Arial" w:hAnsi="Arial" w:cs="Arial"/>
          <w:i/>
          <w:sz w:val="22"/>
          <w:szCs w:val="22"/>
          <w:lang w:val="es-CR"/>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316A4D" w:rsidRPr="00316A4D" w:rsidRDefault="00316A4D" w:rsidP="00316A4D">
      <w:pPr>
        <w:overflowPunct w:val="0"/>
        <w:autoSpaceDE w:val="0"/>
        <w:autoSpaceDN w:val="0"/>
        <w:adjustRightInd w:val="0"/>
        <w:ind w:right="618"/>
        <w:jc w:val="both"/>
        <w:textAlignment w:val="baseline"/>
        <w:rPr>
          <w:rFonts w:cs="Arial"/>
          <w:i/>
          <w:sz w:val="20"/>
          <w:szCs w:val="20"/>
          <w:lang w:val="es-CR"/>
        </w:rPr>
      </w:pPr>
    </w:p>
    <w:p w:rsidR="00316A4D" w:rsidRPr="00316A4D" w:rsidRDefault="00316A4D" w:rsidP="00316A4D">
      <w:pPr>
        <w:numPr>
          <w:ilvl w:val="0"/>
          <w:numId w:val="34"/>
        </w:numPr>
        <w:tabs>
          <w:tab w:val="num" w:pos="465"/>
        </w:tabs>
        <w:ind w:left="465"/>
        <w:jc w:val="both"/>
        <w:rPr>
          <w:rFonts w:ascii="Arial" w:hAnsi="Arial"/>
          <w:lang w:val="es-CR"/>
        </w:rPr>
      </w:pPr>
      <w:r w:rsidRPr="00316A4D">
        <w:rPr>
          <w:rFonts w:ascii="Arial" w:hAnsi="Arial"/>
          <w:lang w:val="es-CR"/>
        </w:rPr>
        <w:t>El Consejo Institucional aprobó en la Sesión No. 2755, artículo 8, del 8 de marzo de 2012, la conformación de dos Comisiones Especiales para la revisión del Reglamento de Carrera Profesional del Instituto Tecnológico de Costa Rica y sus Reformas y la generación de dos propuestas de reglamento: uno para normar carrera académica y otro para la carrera profesional de personal de apoyo a la academia.</w:t>
      </w:r>
    </w:p>
    <w:p w:rsidR="00316A4D" w:rsidRPr="00316A4D" w:rsidRDefault="00316A4D" w:rsidP="00316A4D">
      <w:pPr>
        <w:jc w:val="both"/>
        <w:rPr>
          <w:rFonts w:ascii="Arial" w:hAnsi="Arial" w:cs="Arial"/>
          <w:sz w:val="16"/>
          <w:szCs w:val="16"/>
          <w:lang w:val="es-ES_tradnl"/>
        </w:rPr>
      </w:pPr>
    </w:p>
    <w:p w:rsidR="00316A4D" w:rsidRPr="00316A4D" w:rsidRDefault="00316A4D" w:rsidP="00316A4D">
      <w:pPr>
        <w:numPr>
          <w:ilvl w:val="0"/>
          <w:numId w:val="34"/>
        </w:numPr>
        <w:tabs>
          <w:tab w:val="num" w:pos="465"/>
        </w:tabs>
        <w:ind w:left="465"/>
        <w:jc w:val="both"/>
        <w:rPr>
          <w:rFonts w:ascii="Arial" w:hAnsi="Arial"/>
          <w:lang w:val="es-CR"/>
        </w:rPr>
      </w:pPr>
      <w:r w:rsidRPr="00316A4D">
        <w:rPr>
          <w:rFonts w:ascii="Arial" w:hAnsi="Arial"/>
          <w:lang w:val="es-CR"/>
        </w:rPr>
        <w:t>La Secretaría del Consejo Institucional recibió el oficio OPI-015-2015, con fecha de recibido 16 de febrero de 2015, suscrito por la MAU. Tatiana Fernández Martín, Directora de la Oficina de Planificación Institucional, dirigido al Ing. Alexander Valerín Castro, Coordinador de la Comisión de Planificación y Administración, en el cual remite propuesta de modificación al “Reglamento de Carrera Administrativa y de Apoyo a la Academia”.  Asimismo, remite los dictámenes de la Asesoría Legal, AL-769-2014 y de la Auditoría Interna AUDI-AS-024-2012, AUDI-AS-021-2014 y AUDI-081-2014.</w:t>
      </w:r>
    </w:p>
    <w:p w:rsidR="00316A4D" w:rsidRPr="00316A4D" w:rsidRDefault="00316A4D" w:rsidP="00316A4D">
      <w:pPr>
        <w:overflowPunct w:val="0"/>
        <w:autoSpaceDE w:val="0"/>
        <w:autoSpaceDN w:val="0"/>
        <w:adjustRightInd w:val="0"/>
        <w:ind w:right="618"/>
        <w:jc w:val="both"/>
        <w:textAlignment w:val="baseline"/>
        <w:rPr>
          <w:rFonts w:cs="Arial"/>
          <w:sz w:val="20"/>
          <w:szCs w:val="20"/>
          <w:lang w:val="es-ES_tradnl"/>
        </w:rPr>
      </w:pPr>
    </w:p>
    <w:p w:rsidR="00316A4D" w:rsidRPr="00316A4D" w:rsidRDefault="00316A4D" w:rsidP="00316A4D">
      <w:pPr>
        <w:numPr>
          <w:ilvl w:val="0"/>
          <w:numId w:val="34"/>
        </w:numPr>
        <w:tabs>
          <w:tab w:val="num" w:pos="465"/>
        </w:tabs>
        <w:ind w:left="465"/>
        <w:jc w:val="both"/>
        <w:rPr>
          <w:rFonts w:ascii="Arial" w:hAnsi="Arial" w:cs="Arial"/>
          <w:lang w:val="es-ES_tradnl"/>
        </w:rPr>
      </w:pPr>
      <w:r w:rsidRPr="00316A4D">
        <w:rPr>
          <w:rFonts w:ascii="Arial" w:hAnsi="Arial" w:cs="Arial"/>
          <w:lang w:val="es-ES_tradnl"/>
        </w:rPr>
        <w:t xml:space="preserve">El Consejo Institucional, en la Sesión Ordinaria No. 3078 del miércoles 27 de junio de 2018, artículo 12, tomó el acuerdo de someter a </w:t>
      </w:r>
      <w:r w:rsidRPr="00316A4D">
        <w:rPr>
          <w:rFonts w:ascii="Arial" w:hAnsi="Arial" w:cs="Arial"/>
        </w:rPr>
        <w:t>consulta de la Comunidad Institucional y a la AFITEC la propuesta de “Reglamento de Carrera de Méritos del ITCR”</w:t>
      </w:r>
      <w:r w:rsidRPr="00316A4D">
        <w:rPr>
          <w:rFonts w:ascii="Arial" w:hAnsi="Arial" w:cs="Arial"/>
          <w:lang w:val="es-ES_tradnl"/>
        </w:rPr>
        <w:t>.</w:t>
      </w:r>
    </w:p>
    <w:p w:rsidR="00316A4D" w:rsidRPr="00316A4D" w:rsidRDefault="00316A4D" w:rsidP="00316A4D">
      <w:pPr>
        <w:overflowPunct w:val="0"/>
        <w:autoSpaceDE w:val="0"/>
        <w:autoSpaceDN w:val="0"/>
        <w:adjustRightInd w:val="0"/>
        <w:ind w:right="618"/>
        <w:jc w:val="both"/>
        <w:textAlignment w:val="baseline"/>
        <w:rPr>
          <w:rFonts w:cs="Arial"/>
          <w:i/>
          <w:sz w:val="20"/>
          <w:szCs w:val="20"/>
          <w:lang w:val="es-ES_tradnl"/>
        </w:rPr>
      </w:pPr>
    </w:p>
    <w:p w:rsidR="00316A4D" w:rsidRPr="00316A4D" w:rsidRDefault="00316A4D" w:rsidP="00316A4D">
      <w:pPr>
        <w:tabs>
          <w:tab w:val="left" w:pos="3070"/>
        </w:tabs>
        <w:contextualSpacing/>
        <w:jc w:val="both"/>
        <w:outlineLvl w:val="0"/>
        <w:rPr>
          <w:rFonts w:ascii="Arial" w:hAnsi="Arial" w:cs="Arial"/>
          <w:b/>
          <w:lang w:val="es-CR"/>
        </w:rPr>
      </w:pPr>
      <w:r w:rsidRPr="00316A4D">
        <w:rPr>
          <w:rFonts w:ascii="Arial" w:hAnsi="Arial" w:cs="Arial"/>
          <w:b/>
          <w:lang w:val="es-CR"/>
        </w:rPr>
        <w:t>CONSIDERANDO QUE:</w:t>
      </w:r>
    </w:p>
    <w:p w:rsidR="00316A4D" w:rsidRPr="00316A4D" w:rsidRDefault="00316A4D" w:rsidP="00316A4D">
      <w:pPr>
        <w:ind w:left="426"/>
        <w:jc w:val="both"/>
        <w:rPr>
          <w:rFonts w:ascii="Arial" w:hAnsi="Arial"/>
          <w:lang w:val="es-CR"/>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La Comisión de Planificación y Administración, en la reunión No. 610-2015, del 19 de febrero 2015, conoce la propuesta citada en el resultando segundo y discute la conveniencia de integrarla en un solo Reglamento, que abarque las siguientes tres normativas:</w:t>
      </w:r>
    </w:p>
    <w:p w:rsidR="00316A4D" w:rsidRPr="00316A4D" w:rsidRDefault="00316A4D" w:rsidP="00316A4D">
      <w:pPr>
        <w:ind w:left="851"/>
        <w:jc w:val="both"/>
        <w:rPr>
          <w:rFonts w:ascii="Arial" w:hAnsi="Arial" w:cs="Arial"/>
          <w:sz w:val="10"/>
          <w:szCs w:val="10"/>
          <w:lang w:val="es-ES_tradnl"/>
        </w:rPr>
      </w:pPr>
    </w:p>
    <w:p w:rsidR="00316A4D" w:rsidRPr="00316A4D" w:rsidRDefault="00316A4D" w:rsidP="00316A4D">
      <w:pPr>
        <w:ind w:left="851"/>
        <w:jc w:val="both"/>
        <w:rPr>
          <w:rFonts w:ascii="Arial" w:hAnsi="Arial" w:cs="Arial"/>
          <w:lang w:val="es-ES_tradnl"/>
        </w:rPr>
      </w:pPr>
      <w:r w:rsidRPr="00316A4D">
        <w:rPr>
          <w:rFonts w:ascii="Arial" w:hAnsi="Arial" w:cs="Arial"/>
          <w:lang w:val="es-ES_tradnl"/>
        </w:rPr>
        <w:t>- Reglamento de Carrera Profesional Administrativa</w:t>
      </w:r>
    </w:p>
    <w:p w:rsidR="00316A4D" w:rsidRPr="00316A4D" w:rsidRDefault="00316A4D" w:rsidP="00316A4D">
      <w:pPr>
        <w:ind w:left="851"/>
        <w:jc w:val="both"/>
        <w:rPr>
          <w:rFonts w:ascii="Arial" w:hAnsi="Arial" w:cs="Arial"/>
          <w:lang w:val="es-ES_tradnl"/>
        </w:rPr>
      </w:pPr>
      <w:r w:rsidRPr="00316A4D">
        <w:rPr>
          <w:rFonts w:ascii="Arial" w:hAnsi="Arial" w:cs="Arial"/>
          <w:lang w:val="es-ES_tradnl"/>
        </w:rPr>
        <w:t>- Reglamento de Carrera de Apoyo a la Academia</w:t>
      </w:r>
    </w:p>
    <w:p w:rsidR="00316A4D" w:rsidRPr="00316A4D" w:rsidRDefault="00316A4D" w:rsidP="00316A4D">
      <w:pPr>
        <w:ind w:left="851"/>
        <w:jc w:val="both"/>
        <w:rPr>
          <w:rFonts w:ascii="Arial" w:hAnsi="Arial" w:cs="Arial"/>
          <w:lang w:val="es-ES_tradnl"/>
        </w:rPr>
      </w:pPr>
      <w:r w:rsidRPr="00316A4D">
        <w:rPr>
          <w:rFonts w:ascii="Arial" w:hAnsi="Arial" w:cs="Arial"/>
          <w:lang w:val="es-ES_tradnl"/>
        </w:rPr>
        <w:t xml:space="preserve">- Reglamento de Carrera Docente </w:t>
      </w:r>
    </w:p>
    <w:p w:rsidR="00316A4D" w:rsidRPr="00316A4D" w:rsidRDefault="00316A4D" w:rsidP="00316A4D">
      <w:pPr>
        <w:jc w:val="both"/>
        <w:rPr>
          <w:rFonts w:ascii="Arial" w:hAnsi="Arial" w:cs="Arial"/>
          <w:sz w:val="10"/>
          <w:szCs w:val="10"/>
          <w:lang w:val="es-ES_tradnl"/>
        </w:rPr>
      </w:pPr>
    </w:p>
    <w:p w:rsidR="00316A4D" w:rsidRPr="00316A4D" w:rsidRDefault="00316A4D" w:rsidP="00316A4D">
      <w:pPr>
        <w:ind w:left="851"/>
        <w:jc w:val="both"/>
        <w:rPr>
          <w:rFonts w:ascii="Arial" w:hAnsi="Arial" w:cs="Arial"/>
          <w:sz w:val="10"/>
          <w:szCs w:val="10"/>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Por lo anterior, se dispone realizar un conversatorio con todas las partes involucradas para tratar el tema, y se invita a la próxima reunión, al MAE. William Vives Brenes, Vicerrector de Administración, a la Dra.  Hannia Rodríguez Mora, Directora del Departamento de Recursos Humanos, a la Licda.  Isabel Jiménez, al MBA. Harold Blanco y al MAE. Nelson Ortega, del Departamento de Recursos Humanos.  Asimismo, a la Ing. Johanna Blanco, Asistente del Consejo Institucional, quien tendrá a cargo la unificación de los reglamentos, en conjunto con el señor Alexander Valerin Castro</w:t>
      </w:r>
      <w:r>
        <w:rPr>
          <w:rFonts w:ascii="Arial" w:hAnsi="Arial" w:cs="Arial"/>
          <w:lang w:val="es-ES_tradnl"/>
        </w:rPr>
        <w:t>,</w:t>
      </w:r>
      <w:r w:rsidRPr="00316A4D">
        <w:rPr>
          <w:rFonts w:ascii="Arial" w:hAnsi="Arial" w:cs="Arial"/>
          <w:lang w:val="es-ES_tradnl"/>
        </w:rPr>
        <w:t xml:space="preserve"> para presentar una propuesta a la Comisión de Planificación y Administración.</w:t>
      </w:r>
    </w:p>
    <w:p w:rsidR="00316A4D" w:rsidRPr="00316A4D" w:rsidRDefault="00316A4D" w:rsidP="00316A4D">
      <w:pPr>
        <w:ind w:left="426"/>
        <w:jc w:val="both"/>
        <w:rPr>
          <w:rFonts w:ascii="Arial" w:hAnsi="Arial" w:cs="Arial"/>
          <w:b/>
          <w:sz w:val="20"/>
          <w:szCs w:val="20"/>
          <w:lang w:val="es-CR"/>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De acuerdo con lo anterior, en la reunión de la Comisión de Planificación y Administración No.  612-2015, realizada el 26 de febrero 2015, se recibe al MAE. William Vives Brenes, Vicerrector de Administración, al MBA. Harold Blanco, al MAE. Nelson Ortega, del Departamento de Recursos Humanos y a la Ing. Johanna Blanco, Asistente del Consejo Institucional. Se discute ampliamente el tema, se exponen </w:t>
      </w:r>
      <w:proofErr w:type="gramStart"/>
      <w:r w:rsidRPr="00316A4D">
        <w:rPr>
          <w:rFonts w:ascii="Arial" w:hAnsi="Arial" w:cs="Arial"/>
          <w:lang w:val="es-ES_tradnl"/>
        </w:rPr>
        <w:t>los pro</w:t>
      </w:r>
      <w:proofErr w:type="gramEnd"/>
      <w:r w:rsidRPr="00316A4D">
        <w:rPr>
          <w:rFonts w:ascii="Arial" w:hAnsi="Arial" w:cs="Arial"/>
          <w:lang w:val="es-ES_tradnl"/>
        </w:rPr>
        <w:t xml:space="preserve"> y contra de la propuesta y se deja el tema para análisis.</w:t>
      </w:r>
    </w:p>
    <w:p w:rsidR="00316A4D" w:rsidRPr="00316A4D" w:rsidRDefault="00316A4D" w:rsidP="00316A4D">
      <w:pPr>
        <w:ind w:left="708"/>
        <w:rPr>
          <w:rFonts w:ascii="Arial" w:hAnsi="Arial" w:cs="Arial"/>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En la reunión de la Comisión de Planificación y Administración No.  633-2015, realizada el 06 de agosto de 2015, el señor Alexander Valerín y la señora Johanna Blanco, exponen un informe de avance sobre la unificación de la propuesta de reglamentos:  Carrera Administrativa y de Apoyo a la Academia y Carrera Profesional Administrativa, sin embargo queda pendiente el de Carrera Docente, en razón de que no se había recibido una propuesta dirigida al Consejo Institucional; en esta reunión el señor Tomás Guzmán solicita dar un tiempo prudencial para la presentación del Reglamento Docente.</w:t>
      </w:r>
    </w:p>
    <w:p w:rsidR="00316A4D" w:rsidRPr="00316A4D" w:rsidRDefault="00316A4D" w:rsidP="00316A4D">
      <w:pPr>
        <w:ind w:left="708"/>
        <w:rPr>
          <w:rFonts w:ascii="Arial" w:hAnsi="Arial" w:cs="Arial"/>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En la reunión de la Comisión de Planificación y Administración No.  733-2017, realizada el 10 de agosto de 2017, el señor Alexander Valerín y la señora Ingrid White Quesada, quien sustituye a la señora Johanna Blanco, presentan la versión final de la propuesta de unificación de los reglamentos: Carrera Administrativa y de Apoyo a la Academia, Carrera Profesional Administrativa</w:t>
      </w:r>
      <w:r w:rsidRPr="00316A4D">
        <w:rPr>
          <w:rFonts w:ascii="Arial" w:hAnsi="Arial" w:cs="Arial"/>
          <w:i/>
          <w:lang w:val="es-ES_tradnl"/>
        </w:rPr>
        <w:t>.</w:t>
      </w:r>
      <w:r w:rsidRPr="00316A4D">
        <w:rPr>
          <w:rFonts w:ascii="Arial" w:hAnsi="Arial" w:cs="Arial"/>
          <w:lang w:val="es-ES_tradnl"/>
        </w:rPr>
        <w:t xml:space="preserve">  En vista de que la Comisión Especial de Carrera Docente no presentó el producto, el señor Tomás Guzmán se abocó a la revisión de ese Reglamento</w:t>
      </w:r>
      <w:r>
        <w:rPr>
          <w:rFonts w:ascii="Arial" w:hAnsi="Arial" w:cs="Arial"/>
          <w:lang w:val="es-ES_tradnl"/>
        </w:rPr>
        <w:t>,</w:t>
      </w:r>
      <w:r w:rsidRPr="00316A4D">
        <w:rPr>
          <w:rFonts w:ascii="Arial" w:hAnsi="Arial" w:cs="Arial"/>
          <w:lang w:val="es-ES_tradnl"/>
        </w:rPr>
        <w:t xml:space="preserve"> en conjunto con la señora Ingrid White Quesada, Asistente Administrativa del Consejo Institucional.</w:t>
      </w:r>
    </w:p>
    <w:p w:rsidR="00316A4D" w:rsidRPr="00316A4D" w:rsidRDefault="00316A4D" w:rsidP="00316A4D">
      <w:pPr>
        <w:ind w:left="364"/>
        <w:rPr>
          <w:rFonts w:ascii="Arial" w:hAnsi="Arial" w:cs="Arial"/>
          <w:bCs/>
          <w:sz w:val="20"/>
          <w:szCs w:val="20"/>
          <w:lang w:val="es-CR"/>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Con el fin avanzar sobre el tema, la Comisión de Planificación y Administración</w:t>
      </w:r>
      <w:r>
        <w:rPr>
          <w:rFonts w:ascii="Arial" w:hAnsi="Arial" w:cs="Arial"/>
          <w:lang w:val="es-ES_tradnl"/>
        </w:rPr>
        <w:t>,</w:t>
      </w:r>
      <w:r w:rsidRPr="00316A4D">
        <w:rPr>
          <w:rFonts w:ascii="Arial" w:hAnsi="Arial" w:cs="Arial"/>
          <w:lang w:val="es-ES_tradnl"/>
        </w:rPr>
        <w:t xml:space="preserve"> dispone realizar reuniones de trabajo</w:t>
      </w:r>
      <w:r>
        <w:rPr>
          <w:rFonts w:ascii="Arial" w:hAnsi="Arial" w:cs="Arial"/>
          <w:lang w:val="es-ES_tradnl"/>
        </w:rPr>
        <w:t>,</w:t>
      </w:r>
      <w:r w:rsidRPr="00316A4D">
        <w:rPr>
          <w:rFonts w:ascii="Arial" w:hAnsi="Arial" w:cs="Arial"/>
          <w:lang w:val="es-ES_tradnl"/>
        </w:rPr>
        <w:t xml:space="preserve"> cuyo punto único sea el análisis de la propuesta.  En total se realizaron 8 reuniones, en las fechas que se indica en el siguiente cuadro:</w:t>
      </w:r>
    </w:p>
    <w:p w:rsidR="00316A4D" w:rsidRPr="00316A4D" w:rsidRDefault="00316A4D" w:rsidP="00316A4D">
      <w:pPr>
        <w:jc w:val="both"/>
        <w:rPr>
          <w:rFonts w:ascii="Arial" w:hAnsi="Arial" w:cs="Arial"/>
          <w:lang w:val="es-ES_tradnl"/>
        </w:rPr>
      </w:pPr>
      <w:r w:rsidRPr="00316A4D">
        <w:rPr>
          <w:rFonts w:ascii="Arial" w:hAnsi="Arial" w:cs="Arial"/>
          <w:lang w:val="es-ES_tradnl"/>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3132"/>
      </w:tblGrid>
      <w:tr w:rsidR="00316A4D" w:rsidRPr="00316A4D" w:rsidTr="00CF5705">
        <w:tc>
          <w:tcPr>
            <w:tcW w:w="2821" w:type="dxa"/>
            <w:shd w:val="clear" w:color="auto" w:fill="auto"/>
          </w:tcPr>
          <w:p w:rsidR="00316A4D" w:rsidRPr="00316A4D" w:rsidRDefault="00316A4D" w:rsidP="00316A4D">
            <w:pPr>
              <w:jc w:val="center"/>
              <w:rPr>
                <w:rFonts w:ascii="Arial" w:hAnsi="Arial" w:cs="Arial"/>
                <w:b/>
                <w:i/>
                <w:lang w:val="es-ES_tradnl"/>
              </w:rPr>
            </w:pPr>
            <w:r w:rsidRPr="00316A4D">
              <w:rPr>
                <w:rFonts w:ascii="Arial" w:hAnsi="Arial" w:cs="Arial"/>
                <w:b/>
                <w:i/>
                <w:lang w:val="es-ES_tradnl"/>
              </w:rPr>
              <w:t>Reunión</w:t>
            </w:r>
          </w:p>
        </w:tc>
        <w:tc>
          <w:tcPr>
            <w:tcW w:w="3132" w:type="dxa"/>
            <w:shd w:val="clear" w:color="auto" w:fill="auto"/>
          </w:tcPr>
          <w:p w:rsidR="00316A4D" w:rsidRPr="00316A4D" w:rsidRDefault="00316A4D" w:rsidP="00316A4D">
            <w:pPr>
              <w:jc w:val="center"/>
              <w:rPr>
                <w:rFonts w:ascii="Arial" w:hAnsi="Arial" w:cs="Arial"/>
                <w:b/>
                <w:i/>
                <w:lang w:val="es-ES_tradnl"/>
              </w:rPr>
            </w:pPr>
            <w:r w:rsidRPr="00316A4D">
              <w:rPr>
                <w:rFonts w:ascii="Arial" w:hAnsi="Arial" w:cs="Arial"/>
                <w:b/>
                <w:i/>
                <w:lang w:val="es-ES_tradnl"/>
              </w:rPr>
              <w:t>Fecha</w:t>
            </w:r>
          </w:p>
        </w:tc>
      </w:tr>
      <w:tr w:rsidR="00316A4D" w:rsidRPr="00316A4D" w:rsidTr="00CF5705">
        <w:tc>
          <w:tcPr>
            <w:tcW w:w="2821" w:type="dxa"/>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Reunión No. 1</w:t>
            </w:r>
          </w:p>
        </w:tc>
        <w:tc>
          <w:tcPr>
            <w:tcW w:w="3132" w:type="dxa"/>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21 de noviembre 2017</w:t>
            </w:r>
          </w:p>
        </w:tc>
      </w:tr>
      <w:tr w:rsidR="00316A4D" w:rsidRPr="00316A4D" w:rsidTr="00CF5705">
        <w:tc>
          <w:tcPr>
            <w:tcW w:w="2821" w:type="dxa"/>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2</w:t>
            </w:r>
          </w:p>
        </w:tc>
        <w:tc>
          <w:tcPr>
            <w:tcW w:w="3132" w:type="dxa"/>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04 de diciembre 2017</w:t>
            </w:r>
          </w:p>
        </w:tc>
      </w:tr>
      <w:tr w:rsidR="00316A4D" w:rsidRPr="00316A4D" w:rsidTr="00CF5705">
        <w:tc>
          <w:tcPr>
            <w:tcW w:w="2821" w:type="dxa"/>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3</w:t>
            </w:r>
          </w:p>
        </w:tc>
        <w:tc>
          <w:tcPr>
            <w:tcW w:w="3132" w:type="dxa"/>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22 de febrero 2018</w:t>
            </w:r>
          </w:p>
        </w:tc>
      </w:tr>
      <w:tr w:rsidR="00316A4D" w:rsidRPr="00316A4D" w:rsidTr="00CF5705">
        <w:tc>
          <w:tcPr>
            <w:tcW w:w="2821" w:type="dxa"/>
            <w:tcBorders>
              <w:bottom w:val="single" w:sz="4" w:space="0" w:color="auto"/>
            </w:tcBorders>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4</w:t>
            </w:r>
          </w:p>
        </w:tc>
        <w:tc>
          <w:tcPr>
            <w:tcW w:w="3132" w:type="dxa"/>
            <w:tcBorders>
              <w:bottom w:val="single" w:sz="4" w:space="0" w:color="auto"/>
            </w:tcBorders>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16 de marzo 2018</w:t>
            </w:r>
          </w:p>
        </w:tc>
      </w:tr>
      <w:tr w:rsidR="00316A4D" w:rsidRPr="00316A4D" w:rsidTr="00CF5705">
        <w:tc>
          <w:tcPr>
            <w:tcW w:w="2821"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5</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17 de abril 2018</w:t>
            </w:r>
          </w:p>
        </w:tc>
      </w:tr>
      <w:tr w:rsidR="00316A4D" w:rsidRPr="00316A4D" w:rsidTr="00CF5705">
        <w:tc>
          <w:tcPr>
            <w:tcW w:w="2821"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7</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23 de mayo 2018</w:t>
            </w:r>
          </w:p>
        </w:tc>
      </w:tr>
      <w:tr w:rsidR="00316A4D" w:rsidRPr="00316A4D" w:rsidTr="00CF5705">
        <w:tc>
          <w:tcPr>
            <w:tcW w:w="2821"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7</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28 de mayo 2018</w:t>
            </w:r>
          </w:p>
        </w:tc>
      </w:tr>
      <w:tr w:rsidR="00316A4D" w:rsidRPr="00316A4D" w:rsidTr="00CF5705">
        <w:tc>
          <w:tcPr>
            <w:tcW w:w="2821"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0"/>
                <w:szCs w:val="20"/>
                <w:lang w:val="es-CR"/>
              </w:rPr>
            </w:pPr>
            <w:r w:rsidRPr="00316A4D">
              <w:rPr>
                <w:rFonts w:ascii="Arial" w:hAnsi="Arial" w:cs="Arial"/>
                <w:sz w:val="22"/>
                <w:szCs w:val="22"/>
                <w:lang w:val="es-ES_tradnl"/>
              </w:rPr>
              <w:t>Reunión No. 8</w:t>
            </w:r>
          </w:p>
        </w:tc>
        <w:tc>
          <w:tcPr>
            <w:tcW w:w="3132" w:type="dxa"/>
            <w:tcBorders>
              <w:top w:val="single" w:sz="4" w:space="0" w:color="auto"/>
              <w:left w:val="single" w:sz="4" w:space="0" w:color="auto"/>
              <w:bottom w:val="single" w:sz="4" w:space="0" w:color="auto"/>
              <w:right w:val="single" w:sz="4" w:space="0" w:color="auto"/>
            </w:tcBorders>
            <w:shd w:val="clear" w:color="auto" w:fill="auto"/>
          </w:tcPr>
          <w:p w:rsidR="00316A4D" w:rsidRPr="00316A4D" w:rsidRDefault="00316A4D" w:rsidP="00316A4D">
            <w:pPr>
              <w:jc w:val="center"/>
              <w:rPr>
                <w:rFonts w:ascii="Arial" w:hAnsi="Arial" w:cs="Arial"/>
                <w:sz w:val="22"/>
                <w:szCs w:val="22"/>
                <w:lang w:val="es-ES_tradnl"/>
              </w:rPr>
            </w:pPr>
            <w:r w:rsidRPr="00316A4D">
              <w:rPr>
                <w:rFonts w:ascii="Arial" w:hAnsi="Arial" w:cs="Arial"/>
                <w:sz w:val="22"/>
                <w:szCs w:val="22"/>
                <w:lang w:val="es-ES_tradnl"/>
              </w:rPr>
              <w:t>04 de junio 2018</w:t>
            </w:r>
          </w:p>
        </w:tc>
      </w:tr>
    </w:tbl>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El Consejo Institucional, en la Sesión Ordinaria No. 3078 del miércoles 27 de junio de 2018, artículo 12, acuerda someterla a </w:t>
      </w:r>
      <w:r w:rsidRPr="00316A4D">
        <w:rPr>
          <w:rFonts w:ascii="Arial" w:hAnsi="Arial" w:cs="Arial"/>
        </w:rPr>
        <w:t>consulta de la Comunidad Institucional y a la AFITEC la propuesta de “Reglamento de Carrera de Méritos del ITCR”</w:t>
      </w:r>
      <w:r w:rsidRPr="00316A4D">
        <w:rPr>
          <w:rFonts w:ascii="Arial" w:hAnsi="Arial" w:cs="Arial"/>
          <w:lang w:val="es-ES_tradnl"/>
        </w:rPr>
        <w:t>.</w:t>
      </w:r>
    </w:p>
    <w:p w:rsidR="00316A4D" w:rsidRPr="00316A4D" w:rsidRDefault="00316A4D" w:rsidP="00316A4D">
      <w:pPr>
        <w:tabs>
          <w:tab w:val="num" w:pos="360"/>
        </w:tabs>
        <w:ind w:left="360"/>
        <w:jc w:val="both"/>
        <w:rPr>
          <w:rFonts w:ascii="Arial" w:hAnsi="Arial" w:cs="Arial"/>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La Secretar</w:t>
      </w:r>
      <w:r w:rsidR="005D359E">
        <w:rPr>
          <w:rFonts w:ascii="Arial" w:hAnsi="Arial" w:cs="Arial"/>
          <w:lang w:val="es-ES_tradnl"/>
        </w:rPr>
        <w:t>í</w:t>
      </w:r>
      <w:r w:rsidRPr="00316A4D">
        <w:rPr>
          <w:rFonts w:ascii="Arial" w:hAnsi="Arial" w:cs="Arial"/>
          <w:lang w:val="es-ES_tradnl"/>
        </w:rPr>
        <w:t>a del Consejo Institucional</w:t>
      </w:r>
      <w:r w:rsidR="005D359E">
        <w:rPr>
          <w:rFonts w:ascii="Arial" w:hAnsi="Arial" w:cs="Arial"/>
          <w:lang w:val="es-ES_tradnl"/>
        </w:rPr>
        <w:t>,</w:t>
      </w:r>
      <w:r w:rsidRPr="00316A4D">
        <w:rPr>
          <w:rFonts w:ascii="Arial" w:hAnsi="Arial" w:cs="Arial"/>
          <w:lang w:val="es-ES_tradnl"/>
        </w:rPr>
        <w:t xml:space="preserve"> recibe el oficio CCP-C-11-2018, suscrito por el Ing. Osvaldo Guerrero Castro, Presidente de la Comisión de Evaluación, en el que informa que la </w:t>
      </w:r>
      <w:r w:rsidRPr="00316A4D">
        <w:rPr>
          <w:rFonts w:ascii="Arial" w:hAnsi="Arial" w:cs="Arial"/>
          <w:lang w:val="es-CR"/>
        </w:rPr>
        <w:t>Comisión de Evaluación revisó en sus sesiones N°22-2018, N°23-2018 y N°24-2018, la documentación aportada y acordó</w:t>
      </w:r>
      <w:r w:rsidRPr="00316A4D">
        <w:rPr>
          <w:rFonts w:ascii="Arial" w:hAnsi="Arial" w:cs="Arial"/>
          <w:lang w:val="es-ES_tradnl"/>
        </w:rPr>
        <w:t>:</w:t>
      </w:r>
    </w:p>
    <w:p w:rsidR="00316A4D" w:rsidRPr="00316A4D" w:rsidRDefault="00316A4D" w:rsidP="00316A4D">
      <w:pPr>
        <w:ind w:left="360"/>
        <w:jc w:val="both"/>
        <w:rPr>
          <w:rFonts w:ascii="Arial" w:hAnsi="Arial" w:cs="Arial"/>
          <w:sz w:val="20"/>
          <w:szCs w:val="20"/>
          <w:lang w:val="es-CR"/>
        </w:rPr>
      </w:pPr>
    </w:p>
    <w:p w:rsidR="00316A4D" w:rsidRPr="00316A4D" w:rsidRDefault="00316A4D" w:rsidP="00316A4D">
      <w:pPr>
        <w:autoSpaceDE w:val="0"/>
        <w:autoSpaceDN w:val="0"/>
        <w:adjustRightInd w:val="0"/>
        <w:ind w:left="708"/>
        <w:jc w:val="both"/>
        <w:rPr>
          <w:rFonts w:ascii="Arial" w:hAnsi="Arial" w:cs="Arial"/>
          <w:i/>
          <w:sz w:val="20"/>
          <w:szCs w:val="20"/>
          <w:lang w:val="es-CR"/>
        </w:rPr>
      </w:pPr>
      <w:r w:rsidRPr="00316A4D">
        <w:rPr>
          <w:rFonts w:ascii="Arial" w:hAnsi="Arial" w:cs="Arial"/>
          <w:i/>
          <w:sz w:val="20"/>
          <w:szCs w:val="20"/>
          <w:lang w:val="es-CR"/>
        </w:rPr>
        <w:t xml:space="preserve">“…Rechazar de manera rotunda la propuesta en mención </w:t>
      </w:r>
    </w:p>
    <w:p w:rsidR="00316A4D" w:rsidRPr="00316A4D" w:rsidRDefault="00316A4D" w:rsidP="00316A4D">
      <w:pPr>
        <w:autoSpaceDE w:val="0"/>
        <w:autoSpaceDN w:val="0"/>
        <w:adjustRightInd w:val="0"/>
        <w:ind w:left="708"/>
        <w:jc w:val="both"/>
        <w:rPr>
          <w:rFonts w:ascii="Arial" w:hAnsi="Arial" w:cs="Arial"/>
          <w:i/>
          <w:sz w:val="20"/>
          <w:szCs w:val="20"/>
          <w:lang w:val="es-CR"/>
        </w:rPr>
      </w:pPr>
    </w:p>
    <w:p w:rsidR="00316A4D" w:rsidRPr="00316A4D" w:rsidRDefault="00316A4D" w:rsidP="00316A4D">
      <w:pPr>
        <w:autoSpaceDE w:val="0"/>
        <w:autoSpaceDN w:val="0"/>
        <w:adjustRightInd w:val="0"/>
        <w:ind w:left="708"/>
        <w:jc w:val="both"/>
        <w:rPr>
          <w:rFonts w:ascii="Arial" w:hAnsi="Arial" w:cs="Arial"/>
          <w:i/>
          <w:sz w:val="20"/>
          <w:szCs w:val="20"/>
          <w:lang w:val="es-CR"/>
        </w:rPr>
      </w:pPr>
      <w:r w:rsidRPr="00316A4D">
        <w:rPr>
          <w:rFonts w:ascii="Arial" w:hAnsi="Arial" w:cs="Arial"/>
          <w:i/>
          <w:sz w:val="20"/>
          <w:szCs w:val="20"/>
          <w:lang w:val="es-CR"/>
        </w:rPr>
        <w:t xml:space="preserve">Las justificaciones son las siguientes: </w:t>
      </w:r>
    </w:p>
    <w:p w:rsidR="00316A4D" w:rsidRPr="00316A4D" w:rsidRDefault="00316A4D" w:rsidP="00316A4D">
      <w:pPr>
        <w:autoSpaceDE w:val="0"/>
        <w:autoSpaceDN w:val="0"/>
        <w:adjustRightInd w:val="0"/>
        <w:ind w:left="708"/>
        <w:jc w:val="both"/>
        <w:rPr>
          <w:rFonts w:ascii="Arial" w:hAnsi="Arial" w:cs="Arial"/>
          <w:i/>
          <w:sz w:val="20"/>
          <w:szCs w:val="20"/>
          <w:lang w:val="es-CR"/>
        </w:rPr>
      </w:pP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1. </w:t>
      </w:r>
      <w:r w:rsidRPr="00316A4D">
        <w:rPr>
          <w:rFonts w:ascii="Arial" w:hAnsi="Arial" w:cs="Arial"/>
          <w:i/>
          <w:sz w:val="20"/>
          <w:szCs w:val="20"/>
          <w:lang w:val="es-CR"/>
        </w:rPr>
        <w:tab/>
        <w:t xml:space="preserve">No se encontró la conveniencia administrativa que implica el fusionar los reglamentos existentes, ya que están dirigidos a poblaciones de funcionarios con características diferentes.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2. En la propuesta no se evidencia que las mejoras estén acordes con las condiciones actuales del talento humano y retos de los profesionales de la institución, con miras al siglo XXI.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3. </w:t>
      </w:r>
      <w:r w:rsidRPr="00316A4D">
        <w:rPr>
          <w:rFonts w:ascii="Arial" w:hAnsi="Arial" w:cs="Arial"/>
          <w:i/>
          <w:sz w:val="20"/>
          <w:szCs w:val="20"/>
          <w:lang w:val="es-CR"/>
        </w:rPr>
        <w:tab/>
        <w:t xml:space="preserve">No está claro, cómo la propuesta va a promover la mejora continua de los docentes.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4. La propuesta no hace aportes tendientes a mejorar los artículos que en el reglamento actual presentan ambigüedad.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5. En lo que a la integración de las comisiones se refiere, no se encontró la justificación para modificar su estructura e incluir nuevos miembros, lo que conllevará no solo dificultades en el manejo del quórum sino también un impacto económico institucional considerable.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6. Resulta no equitativa, porque trata a dos funcionarios que van a recibir la misma remuneración, con diferencias en los méritos que deben alcanzar, solo porque uno es de apoyo a la academia y el otro es académico.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 xml:space="preserve">7. Se desconoce el motivo por el que la propuesta delega muchas de las funciones que realizan las comisiones actuales en el Departamento de Recursos Humanos, lo que implicaría mayores costos institucionales y problemas en la logística del manejo de cada uno de los casos que se analicen. </w:t>
      </w:r>
    </w:p>
    <w:p w:rsidR="00316A4D" w:rsidRPr="00316A4D" w:rsidRDefault="00316A4D" w:rsidP="00316A4D">
      <w:pPr>
        <w:autoSpaceDE w:val="0"/>
        <w:autoSpaceDN w:val="0"/>
        <w:adjustRightInd w:val="0"/>
        <w:ind w:left="966" w:hanging="258"/>
        <w:jc w:val="both"/>
        <w:rPr>
          <w:rFonts w:ascii="Arial" w:hAnsi="Arial" w:cs="Arial"/>
          <w:i/>
          <w:sz w:val="20"/>
          <w:szCs w:val="20"/>
          <w:lang w:val="es-CR"/>
        </w:rPr>
      </w:pPr>
      <w:r w:rsidRPr="00316A4D">
        <w:rPr>
          <w:rFonts w:ascii="Arial" w:hAnsi="Arial" w:cs="Arial"/>
          <w:i/>
          <w:sz w:val="20"/>
          <w:szCs w:val="20"/>
          <w:lang w:val="es-CR"/>
        </w:rPr>
        <w:t>8. Y finalmente, como es del conocimiento de los integrantes del Consejo Institucional, se espera que el nuevo Manual Descriptivo de Puestos, entre a regir en un periodo corto, lo que tendrá un impacto en el quehacer institucional y en este reglamento en particular.”</w:t>
      </w:r>
    </w:p>
    <w:p w:rsidR="00316A4D" w:rsidRPr="00316A4D" w:rsidRDefault="00316A4D" w:rsidP="00316A4D">
      <w:pPr>
        <w:ind w:left="708"/>
        <w:rPr>
          <w:rFonts w:cs="Arial"/>
          <w:lang w:val="es-CR"/>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La Secretaria del Consejo Institucional recibe el oficio CCAAA-12-2018, remitido por la Sra. Beatriz Bonilla Brenes, Presidenta de la Comisión de Carrera Administrativa y de Apoyo a la Academia, en el que presenta el acuerdo de la </w:t>
      </w:r>
      <w:r w:rsidRPr="00316A4D">
        <w:rPr>
          <w:rFonts w:ascii="Arial" w:hAnsi="Arial" w:cs="Arial"/>
          <w:lang w:val="es-CR"/>
        </w:rPr>
        <w:t xml:space="preserve">comisión que indica que la </w:t>
      </w:r>
      <w:r w:rsidRPr="00316A4D">
        <w:rPr>
          <w:rFonts w:ascii="Arial" w:hAnsi="Arial" w:cs="Arial"/>
        </w:rPr>
        <w:t xml:space="preserve">Comisión de Carrera Administrativa y de Apoyo a la </w:t>
      </w:r>
      <w:r w:rsidRPr="00316A4D">
        <w:rPr>
          <w:rFonts w:ascii="Arial" w:hAnsi="Arial" w:cs="Arial"/>
        </w:rPr>
        <w:lastRenderedPageBreak/>
        <w:t xml:space="preserve">Academia (en adelante CCAAA), </w:t>
      </w:r>
      <w:r w:rsidRPr="00316A4D">
        <w:rPr>
          <w:rFonts w:ascii="Arial" w:hAnsi="Arial" w:cs="Arial"/>
          <w:b/>
        </w:rPr>
        <w:t>rechaza de manera rotunda</w:t>
      </w:r>
      <w:r w:rsidRPr="00316A4D">
        <w:rPr>
          <w:rFonts w:ascii="Arial" w:hAnsi="Arial" w:cs="Arial"/>
        </w:rPr>
        <w:t xml:space="preserve"> la propuesta de “Reglamento de Carrera de Méritos del ITCR” por las siguientes consideraciones:</w:t>
      </w:r>
    </w:p>
    <w:p w:rsidR="00316A4D" w:rsidRPr="00316A4D" w:rsidRDefault="00316A4D" w:rsidP="00316A4D">
      <w:pPr>
        <w:ind w:left="360"/>
        <w:jc w:val="both"/>
        <w:rPr>
          <w:rFonts w:ascii="Arial" w:hAnsi="Arial" w:cs="Arial"/>
          <w:sz w:val="20"/>
          <w:szCs w:val="20"/>
        </w:rPr>
      </w:pPr>
    </w:p>
    <w:p w:rsidR="00316A4D" w:rsidRDefault="00316A4D" w:rsidP="00316A4D">
      <w:pPr>
        <w:numPr>
          <w:ilvl w:val="0"/>
          <w:numId w:val="35"/>
        </w:numPr>
        <w:shd w:val="clear" w:color="auto" w:fill="FFFFFF"/>
        <w:ind w:left="1068" w:right="164"/>
        <w:jc w:val="both"/>
        <w:textAlignment w:val="baseline"/>
        <w:rPr>
          <w:rFonts w:ascii="Arial" w:eastAsia="Calibri" w:hAnsi="Arial" w:cs="Arial"/>
          <w:i/>
          <w:sz w:val="22"/>
          <w:szCs w:val="22"/>
          <w:lang w:val="es-CR" w:eastAsia="es-CR"/>
        </w:rPr>
      </w:pPr>
      <w:r w:rsidRPr="00316A4D">
        <w:rPr>
          <w:rFonts w:ascii="Arial" w:eastAsia="Calibri" w:hAnsi="Arial" w:cs="Arial"/>
          <w:i/>
          <w:sz w:val="22"/>
          <w:szCs w:val="22"/>
          <w:lang w:eastAsia="es-CR"/>
        </w:rPr>
        <w:t>“La Comisión de Planificación y Administración del Consejo Institucional ignoró la documentación descrita en el inciso 1 de los considerandos según el correo enviado el 28 de junio a la Comunidad Institucional, Consulta Propuesta de Reglamento Carrera de Méritos del ITCR.</w:t>
      </w:r>
      <w:r w:rsidRPr="00316A4D">
        <w:rPr>
          <w:rFonts w:ascii="Arial" w:eastAsia="Calibri" w:hAnsi="Arial" w:cs="Arial"/>
          <w:i/>
          <w:sz w:val="22"/>
          <w:szCs w:val="22"/>
          <w:lang w:val="es-CR" w:eastAsia="es-CR"/>
        </w:rPr>
        <w:t> </w:t>
      </w:r>
    </w:p>
    <w:p w:rsidR="005D359E" w:rsidRPr="00316A4D" w:rsidRDefault="005D359E" w:rsidP="005D359E">
      <w:pPr>
        <w:shd w:val="clear" w:color="auto" w:fill="FFFFFF"/>
        <w:ind w:left="1068" w:right="164"/>
        <w:jc w:val="both"/>
        <w:textAlignment w:val="baseline"/>
        <w:rPr>
          <w:rFonts w:ascii="Arial" w:eastAsia="Calibri" w:hAnsi="Arial" w:cs="Arial"/>
          <w:i/>
          <w:sz w:val="22"/>
          <w:szCs w:val="22"/>
          <w:lang w:val="es-CR" w:eastAsia="es-CR"/>
        </w:rPr>
      </w:pPr>
    </w:p>
    <w:p w:rsidR="00316A4D" w:rsidRPr="00316A4D" w:rsidRDefault="00316A4D" w:rsidP="00316A4D">
      <w:pPr>
        <w:shd w:val="clear" w:color="auto" w:fill="FFFFFF"/>
        <w:ind w:left="1418" w:right="448"/>
        <w:jc w:val="both"/>
        <w:textAlignment w:val="baseline"/>
        <w:rPr>
          <w:rFonts w:ascii="Arial" w:eastAsia="Calibri" w:hAnsi="Arial" w:cs="Arial"/>
          <w:i/>
          <w:sz w:val="22"/>
          <w:szCs w:val="22"/>
          <w:lang w:val="es-CR" w:eastAsia="es-CR"/>
        </w:rPr>
      </w:pPr>
      <w:r w:rsidRPr="00316A4D">
        <w:rPr>
          <w:rFonts w:ascii="Bookman Old Style" w:eastAsia="Calibri" w:hAnsi="Bookman Old Style" w:cs="Arial"/>
          <w:i/>
          <w:iCs/>
          <w:sz w:val="22"/>
          <w:szCs w:val="22"/>
          <w:lang w:eastAsia="es-CR"/>
        </w:rPr>
        <w:t>“</w:t>
      </w:r>
      <w:r w:rsidRPr="005D359E">
        <w:rPr>
          <w:rFonts w:ascii="Arial" w:eastAsia="Calibri" w:hAnsi="Arial" w:cs="Arial"/>
          <w:i/>
          <w:iCs/>
          <w:sz w:val="22"/>
          <w:szCs w:val="22"/>
          <w:lang w:eastAsia="es-CR"/>
        </w:rPr>
        <w:t>La Secretaría del Consejo Institucional, recibió oficio OPI-015-2015, con fecha de recibido 16 de febrero de 2015, suscrito por la MAU. Tatiana Fernández Martín, Directora de la Oficina de Planificación Institucional, dirigido al Ing. Alexander Valerín Castro, Coordinador de la Comisión de Planificación y Administración, en el cual remite propuesta de modificación al “Reglamento de Carrera Administrativa y de Apoyo a la Academia”.  Asimismo, remite los dictámenes de la Asesoría Legal, AL-769-2014 y de la Auditoría Interna AUDI-AS-024-2012, AUDI-AS-021-2014 y AUDI-081-20142”.</w:t>
      </w:r>
      <w:r w:rsidRPr="005D359E">
        <w:rPr>
          <w:rFonts w:ascii="Arial" w:eastAsia="Calibri" w:hAnsi="Arial" w:cs="Arial"/>
          <w:i/>
          <w:sz w:val="22"/>
          <w:szCs w:val="22"/>
          <w:lang w:val="es-CR" w:eastAsia="es-CR"/>
        </w:rPr>
        <w:t> </w:t>
      </w:r>
    </w:p>
    <w:p w:rsidR="00316A4D" w:rsidRPr="00316A4D" w:rsidRDefault="00316A4D" w:rsidP="00316A4D">
      <w:pPr>
        <w:numPr>
          <w:ilvl w:val="0"/>
          <w:numId w:val="35"/>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La</w:t>
      </w:r>
      <w:r w:rsidR="005D359E">
        <w:rPr>
          <w:rFonts w:ascii="Arial" w:eastAsia="Calibri" w:hAnsi="Arial" w:cs="Arial"/>
          <w:i/>
          <w:sz w:val="22"/>
          <w:szCs w:val="22"/>
          <w:lang w:eastAsia="es-CR"/>
        </w:rPr>
        <w:t xml:space="preserve"> </w:t>
      </w:r>
      <w:r w:rsidRPr="00316A4D">
        <w:rPr>
          <w:rFonts w:ascii="Arial" w:eastAsia="Calibri" w:hAnsi="Arial" w:cs="Arial"/>
          <w:i/>
          <w:sz w:val="22"/>
          <w:szCs w:val="22"/>
          <w:lang w:eastAsia="es-CR"/>
        </w:rPr>
        <w:t>CCAAA considera</w:t>
      </w:r>
      <w:r w:rsidR="005D359E">
        <w:rPr>
          <w:rFonts w:ascii="Arial" w:eastAsia="Calibri" w:hAnsi="Arial" w:cs="Arial"/>
          <w:i/>
          <w:sz w:val="22"/>
          <w:szCs w:val="22"/>
          <w:lang w:eastAsia="es-CR"/>
        </w:rPr>
        <w:t xml:space="preserve"> </w:t>
      </w:r>
      <w:r w:rsidRPr="00316A4D">
        <w:rPr>
          <w:rFonts w:ascii="Arial" w:eastAsia="Calibri" w:hAnsi="Arial" w:cs="Arial"/>
          <w:i/>
          <w:sz w:val="22"/>
          <w:szCs w:val="22"/>
          <w:lang w:eastAsia="es-CR"/>
        </w:rPr>
        <w:t>inconveniente</w:t>
      </w:r>
      <w:r w:rsidR="005D359E">
        <w:rPr>
          <w:rFonts w:ascii="Arial" w:eastAsia="Calibri" w:hAnsi="Arial" w:cs="Arial"/>
          <w:i/>
          <w:sz w:val="22"/>
          <w:szCs w:val="22"/>
          <w:lang w:eastAsia="es-CR"/>
        </w:rPr>
        <w:t xml:space="preserve"> </w:t>
      </w:r>
      <w:r w:rsidRPr="00316A4D">
        <w:rPr>
          <w:rFonts w:ascii="Arial" w:eastAsia="Calibri" w:hAnsi="Arial" w:cs="Arial"/>
          <w:i/>
          <w:sz w:val="22"/>
          <w:szCs w:val="22"/>
          <w:lang w:eastAsia="es-CR"/>
        </w:rPr>
        <w:t>fusionarlos reglamentos (Carrera Profesional y Carrera Administrativa y de Apoyo a la Academia), ya que estos están dirigidos a poblaciones de funcionarios con características diferentes.</w:t>
      </w:r>
      <w:r w:rsidRPr="00316A4D">
        <w:rPr>
          <w:rFonts w:ascii="Calibri" w:eastAsia="Calibri" w:hAnsi="Calibri"/>
          <w:i/>
          <w:sz w:val="22"/>
          <w:szCs w:val="22"/>
          <w:lang w:eastAsia="es-CR"/>
        </w:rPr>
        <w:t> </w:t>
      </w:r>
    </w:p>
    <w:p w:rsidR="00316A4D" w:rsidRPr="00316A4D" w:rsidRDefault="00316A4D" w:rsidP="00316A4D">
      <w:pPr>
        <w:numPr>
          <w:ilvl w:val="0"/>
          <w:numId w:val="35"/>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Por ser discriminatorio, para el sector de apoyo a la academia, en la diferencia de años de servicio para ingresar, permanecer y avanzar en carrera, según su respectivo escalafón.</w:t>
      </w:r>
      <w:r w:rsidRPr="00316A4D">
        <w:rPr>
          <w:rFonts w:ascii="Calibri" w:eastAsia="Calibri" w:hAnsi="Calibri"/>
          <w:i/>
          <w:sz w:val="22"/>
          <w:szCs w:val="22"/>
          <w:lang w:eastAsia="es-CR"/>
        </w:rPr>
        <w:t> </w:t>
      </w:r>
    </w:p>
    <w:p w:rsidR="00316A4D" w:rsidRPr="00316A4D" w:rsidRDefault="00316A4D" w:rsidP="00316A4D">
      <w:pPr>
        <w:numPr>
          <w:ilvl w:val="0"/>
          <w:numId w:val="35"/>
        </w:numPr>
        <w:shd w:val="clear" w:color="auto" w:fill="FFFFFF"/>
        <w:ind w:left="1068" w:right="164"/>
        <w:jc w:val="both"/>
        <w:textAlignment w:val="baseline"/>
        <w:rPr>
          <w:rFonts w:ascii="Calibri" w:eastAsia="Calibri" w:hAnsi="Calibri"/>
          <w:i/>
          <w:sz w:val="22"/>
          <w:szCs w:val="22"/>
          <w:lang w:eastAsia="es-CR"/>
        </w:rPr>
      </w:pPr>
      <w:r w:rsidRPr="00316A4D">
        <w:rPr>
          <w:rFonts w:ascii="Arial" w:eastAsia="Calibri" w:hAnsi="Arial" w:cs="Arial"/>
          <w:i/>
          <w:sz w:val="22"/>
          <w:szCs w:val="22"/>
          <w:lang w:eastAsia="es-CR"/>
        </w:rPr>
        <w:t>La CCAAA dedicó más de cinco años en preparar la Propuesta de Modificación  Integral del Reglamento de Carrera Administrativa y de Apoyo a la Academia, la cual fue presentada al Consejo Institucional para su análisis desde el 2012, sin haber recibido respuesta, según memorando CCAAA-04–2018, del 16 de abril de 2018,  y fue hasta el 28 de junio del 2018, que el Consejo Institucional presenta a la comunidad, una propuesta nueva, sin tomar en cuenta la  participación de esta Comisión, que consiste en la fusión de tres reglamentos para ser estudiada en un plazo de 30 días.</w:t>
      </w:r>
      <w:r w:rsidRPr="00316A4D">
        <w:rPr>
          <w:rFonts w:ascii="Calibri" w:eastAsia="Calibri" w:hAnsi="Calibri"/>
          <w:i/>
          <w:sz w:val="22"/>
          <w:szCs w:val="22"/>
          <w:lang w:eastAsia="es-CR"/>
        </w:rPr>
        <w:t> </w:t>
      </w:r>
    </w:p>
    <w:p w:rsidR="00316A4D" w:rsidRPr="00316A4D" w:rsidRDefault="00316A4D" w:rsidP="00316A4D">
      <w:pPr>
        <w:numPr>
          <w:ilvl w:val="0"/>
          <w:numId w:val="35"/>
        </w:numPr>
        <w:shd w:val="clear" w:color="auto" w:fill="FFFFFF"/>
        <w:ind w:left="1068" w:right="164"/>
        <w:jc w:val="both"/>
        <w:textAlignment w:val="baseline"/>
        <w:rPr>
          <w:rFonts w:ascii="Arial" w:eastAsia="Calibri" w:hAnsi="Arial" w:cs="Arial"/>
          <w:i/>
          <w:sz w:val="22"/>
          <w:szCs w:val="22"/>
          <w:lang w:eastAsia="es-CR"/>
        </w:rPr>
      </w:pPr>
      <w:r w:rsidRPr="00316A4D">
        <w:rPr>
          <w:rFonts w:ascii="Arial" w:eastAsia="Calibri" w:hAnsi="Arial" w:cs="Arial"/>
          <w:i/>
          <w:sz w:val="22"/>
          <w:szCs w:val="22"/>
          <w:lang w:eastAsia="es-CR"/>
        </w:rPr>
        <w:t xml:space="preserve">Se desconoce el espíritu de dicha fusión y el efecto que tendrá el nuevo Manual Descriptivo de Puestos por Competencias en el Reglamento de Carrera Administrativa y de Apoyo a la Academia. </w:t>
      </w:r>
    </w:p>
    <w:p w:rsidR="00316A4D" w:rsidRPr="00316A4D" w:rsidRDefault="00316A4D" w:rsidP="00316A4D">
      <w:pPr>
        <w:numPr>
          <w:ilvl w:val="0"/>
          <w:numId w:val="35"/>
        </w:numPr>
        <w:shd w:val="clear" w:color="auto" w:fill="FFFFFF"/>
        <w:ind w:left="1068" w:right="164"/>
        <w:jc w:val="both"/>
        <w:textAlignment w:val="baseline"/>
        <w:rPr>
          <w:rFonts w:ascii="Arial" w:eastAsia="Calibri" w:hAnsi="Arial" w:cs="Arial"/>
          <w:i/>
          <w:sz w:val="22"/>
          <w:szCs w:val="22"/>
          <w:lang w:eastAsia="es-CR"/>
        </w:rPr>
      </w:pPr>
      <w:r w:rsidRPr="00316A4D">
        <w:rPr>
          <w:rFonts w:ascii="Arial" w:eastAsia="Calibri" w:hAnsi="Arial" w:cs="Arial"/>
          <w:i/>
          <w:sz w:val="22"/>
          <w:szCs w:val="22"/>
          <w:lang w:eastAsia="es-CR"/>
        </w:rPr>
        <w:t>Comuníquese a la Comunidad Institucional.</w:t>
      </w:r>
    </w:p>
    <w:p w:rsidR="00316A4D" w:rsidRPr="00316A4D" w:rsidRDefault="00316A4D" w:rsidP="00316A4D">
      <w:pPr>
        <w:ind w:left="360"/>
        <w:jc w:val="both"/>
        <w:rPr>
          <w:rFonts w:ascii="Arial" w:hAnsi="Arial" w:cs="Arial"/>
          <w:sz w:val="20"/>
          <w:szCs w:val="20"/>
          <w:lang w:val="es-CR"/>
        </w:rPr>
      </w:pPr>
    </w:p>
    <w:p w:rsidR="00316A4D" w:rsidRPr="00316A4D" w:rsidRDefault="00316A4D" w:rsidP="005D359E">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La Secretaria del Consejo Institucional recibe el oficio VIE-788-2018, suscrito por el Dr. Alexander Berrocal Jiménez, Presidente del Consejo de Investigación </w:t>
      </w:r>
      <w:proofErr w:type="gramStart"/>
      <w:r w:rsidRPr="00316A4D">
        <w:rPr>
          <w:rFonts w:ascii="Arial" w:hAnsi="Arial" w:cs="Arial"/>
          <w:lang w:val="es-ES_tradnl"/>
        </w:rPr>
        <w:t>y  Extensión</w:t>
      </w:r>
      <w:proofErr w:type="gramEnd"/>
      <w:r w:rsidRPr="00316A4D">
        <w:rPr>
          <w:rFonts w:ascii="Arial" w:hAnsi="Arial" w:cs="Arial"/>
          <w:lang w:val="es-ES_tradnl"/>
        </w:rPr>
        <w:t xml:space="preserve">, en el que informa que el </w:t>
      </w:r>
      <w:r w:rsidRPr="00316A4D">
        <w:rPr>
          <w:rFonts w:ascii="Arial" w:hAnsi="Arial" w:cs="Arial"/>
          <w:lang w:val="es-CR"/>
        </w:rPr>
        <w:t xml:space="preserve">Consejo de Investigación y Extensión (CIE), en la  Sesión Ordinaria No. 12-2018, Artículo 7, del 24 de agosto del 2018, tomó el siguiente acuerdo: </w:t>
      </w:r>
      <w:r w:rsidRPr="00316A4D">
        <w:rPr>
          <w:rFonts w:ascii="Arial" w:hAnsi="Arial" w:cs="Arial"/>
          <w:i/>
          <w:lang w:val="es-CR"/>
        </w:rPr>
        <w:t>"Rechazar en todos sus alcances la aprobación y puesta en marcha del “Reglamento de Carrera de Méritos del ITCR”</w:t>
      </w:r>
      <w:r w:rsidRPr="00316A4D">
        <w:rPr>
          <w:rFonts w:ascii="Arial" w:hAnsi="Arial" w:cs="Arial"/>
          <w:lang w:val="es-CR"/>
        </w:rPr>
        <w:t>.</w:t>
      </w:r>
    </w:p>
    <w:p w:rsidR="00316A4D" w:rsidRPr="00316A4D" w:rsidRDefault="00316A4D" w:rsidP="005D359E">
      <w:pPr>
        <w:ind w:left="567" w:right="-93"/>
        <w:jc w:val="both"/>
        <w:rPr>
          <w:rFonts w:ascii="Arial" w:hAnsi="Arial" w:cs="Arial"/>
          <w:i/>
          <w:sz w:val="22"/>
          <w:szCs w:val="22"/>
          <w:lang w:val="es-CR"/>
        </w:rPr>
      </w:pPr>
      <w:r w:rsidRPr="00316A4D">
        <w:rPr>
          <w:rFonts w:ascii="Arial" w:hAnsi="Arial" w:cs="Arial"/>
          <w:i/>
          <w:sz w:val="22"/>
          <w:szCs w:val="22"/>
          <w:lang w:val="es-CR"/>
        </w:rPr>
        <w:t>“La decisión la tomó el CIE en respuesta a una consulta hecha por el Consejo Institucional por las siguientes razones:</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Se fusionan en un solo reglamento los alcances de los reglamentos vigentes respecto a carrera docente y carrera administrativa; esto corresponde a dos grupos de funcionarios claramente distintos, con funciones muy diferentes definidas en el Manual Descriptivo de Puestos.</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La nueva propuesta no responde claramente a principios fundamentales de promover la excelencia y el reconocimiento basado en méritos, lo que podría conducir a beneficios económicos desproporcionados para los trabajadores del ITCR.</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lastRenderedPageBreak/>
        <w:t xml:space="preserve">En lo referente a investigación y extensión, la propuesta no aborda aspectos esenciales que ya han sido analizados con el Consejo Institucional, por </w:t>
      </w:r>
      <w:proofErr w:type="gramStart"/>
      <w:r w:rsidRPr="00316A4D">
        <w:rPr>
          <w:rFonts w:ascii="Arial" w:hAnsi="Arial" w:cs="Arial"/>
          <w:i/>
          <w:sz w:val="22"/>
          <w:szCs w:val="22"/>
          <w:lang w:val="es-CR"/>
        </w:rPr>
        <w:t>ejemplo</w:t>
      </w:r>
      <w:proofErr w:type="gramEnd"/>
      <w:r w:rsidRPr="00316A4D">
        <w:rPr>
          <w:rFonts w:ascii="Arial" w:hAnsi="Arial" w:cs="Arial"/>
          <w:i/>
          <w:sz w:val="22"/>
          <w:szCs w:val="22"/>
          <w:lang w:val="es-CR"/>
        </w:rPr>
        <w:t xml:space="preserve"> que en los artículos científicos no se haga diferencia entre calidades de revistas en las que se publica.</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Además, el reglamento propone asignar el mismo puntaje a todos los autores de un artículo, criterio que se repite frecuentemente en otros rubros que se evalúan para obtener el puntaje requerido para el paso de categoría, sin que medie una justificación o criterio técnico que respalde esta medida.</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 xml:space="preserve">Dentro de los criterios que aportan puntuación al personal administrativo y de apoyo a la academia, se incluyen productos propios de la investigación y la extensión tales como artículos, libros, productos de propiedad intelectual entre otros. Sin embargo, el Estatuto Orgánico establece en el artículo 102 que: “Los profesores son los funcionarios que, de acuerdo con su vocación, su formación y la conveniencia del Instituto, se dedican indistintamente a la docencia, la investigación o la extensión tecnológicas o educativas, como actividad principal dentro de un departamento académico”. Esto se considera una inconsistencia, puesto que debería evaluarse a cada funcionario en función de las competencias por las que fue contratado como funcionario del ITCR. </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La Comisión de Carrera Profesional estará integrada por tres propietarios académicos y dos miembros propietarios administrativos y la misma cantidad de suplentes, mientras que la Comisión de Carrera Administrativa categoría de apoyo a la academia estará integrada por tres propietarios todos funcionarios administrativos en categorías no profesionales y la misma cantidad de suplentes; ambas comisiones evalúan los atestados para paso de categoría, incluyendo aquellos que son propios de los productos de la investigación y la extensión que por competencia son resorte del personal académico. Por lo tanto, es claro que el personal administrativo no tendría competencias adecuadas para evaluar atestados relacionados con productos de investigación y extensión tales como artículos, libros, productos de propiedad intelectual, entre otros.</w:t>
      </w:r>
    </w:p>
    <w:p w:rsidR="00316A4D" w:rsidRPr="00316A4D" w:rsidRDefault="00316A4D" w:rsidP="00316A4D">
      <w:pPr>
        <w:numPr>
          <w:ilvl w:val="0"/>
          <w:numId w:val="36"/>
        </w:numPr>
        <w:ind w:left="992" w:right="448" w:hanging="425"/>
        <w:contextualSpacing/>
        <w:jc w:val="both"/>
        <w:rPr>
          <w:rFonts w:ascii="Arial" w:hAnsi="Arial" w:cs="Arial"/>
          <w:i/>
          <w:sz w:val="22"/>
          <w:szCs w:val="22"/>
          <w:lang w:val="es-CR"/>
        </w:rPr>
      </w:pPr>
      <w:r w:rsidRPr="00316A4D">
        <w:rPr>
          <w:rFonts w:ascii="Arial" w:hAnsi="Arial" w:cs="Arial"/>
          <w:i/>
          <w:sz w:val="22"/>
          <w:szCs w:val="22"/>
          <w:lang w:val="es-CR"/>
        </w:rPr>
        <w:t xml:space="preserve">En la propuesta de reglamento planteada se indica que en el caso de coautoría de artículos se asignará el 100% de los puntos obtenidos en cada ítem a cada uno de los autores, independientemente del número de autores y manteniendo aun así un puntaje significativamente alto por artículo; esto se considera riesgoso pues con esta medida no se incentiva la calidad y tampoco se reconoce el mérito de los proponentes de estos productos en función de su aporte. </w:t>
      </w:r>
    </w:p>
    <w:p w:rsidR="00316A4D" w:rsidRPr="00316A4D" w:rsidRDefault="00316A4D" w:rsidP="00316A4D">
      <w:pPr>
        <w:numPr>
          <w:ilvl w:val="0"/>
          <w:numId w:val="36"/>
        </w:numPr>
        <w:ind w:left="992" w:right="448" w:hanging="425"/>
        <w:contextualSpacing/>
        <w:jc w:val="both"/>
        <w:rPr>
          <w:rFonts w:cs="Arial"/>
          <w:i/>
          <w:lang w:val="es-ES_tradnl"/>
        </w:rPr>
      </w:pPr>
      <w:r w:rsidRPr="00316A4D">
        <w:rPr>
          <w:rFonts w:ascii="Arial" w:hAnsi="Arial" w:cs="Arial"/>
          <w:i/>
          <w:sz w:val="22"/>
          <w:szCs w:val="22"/>
          <w:lang w:val="es-CR"/>
        </w:rPr>
        <w:t>Finalmente, se tiene la percepción de que este reglamento es más laxo y propiciaría un aumento importante en la cantidad de personas que aprueban pasos académicos en épocas en que la situación del país es compleja en términos presupuestarios; se considera un riesgo que la implementación de la propuesta de “Reglamento de Carrera de Méritos del ITCR” venga a afectar en forma significativa e irreversible las finanzas institucionales.</w:t>
      </w:r>
    </w:p>
    <w:p w:rsidR="00316A4D" w:rsidRPr="00316A4D" w:rsidRDefault="00316A4D" w:rsidP="00316A4D">
      <w:pPr>
        <w:ind w:left="567" w:right="448"/>
        <w:contextualSpacing/>
        <w:jc w:val="both"/>
        <w:rPr>
          <w:rFonts w:cs="Arial"/>
          <w:i/>
          <w:sz w:val="16"/>
          <w:szCs w:val="16"/>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La Secretaria del Consejo Institucional recibió, además, criterios de las siguientes dependencias y funcionarios y funcionarias, según se detalla a continuación:</w:t>
      </w:r>
    </w:p>
    <w:p w:rsidR="00316A4D" w:rsidRPr="00316A4D" w:rsidRDefault="00316A4D" w:rsidP="00316A4D">
      <w:pPr>
        <w:jc w:val="both"/>
        <w:rPr>
          <w:rFonts w:ascii="Arial" w:hAnsi="Arial" w:cs="Arial"/>
          <w:sz w:val="16"/>
          <w:szCs w:val="16"/>
          <w:lang w:val="es-ES_tradnl"/>
        </w:rPr>
      </w:pPr>
    </w:p>
    <w:tbl>
      <w:tblPr>
        <w:tblStyle w:val="Tablaconcuadrcula"/>
        <w:tblW w:w="0" w:type="auto"/>
        <w:tblLook w:val="04A0" w:firstRow="1" w:lastRow="0" w:firstColumn="1" w:lastColumn="0" w:noHBand="0" w:noVBand="1"/>
      </w:tblPr>
      <w:tblGrid>
        <w:gridCol w:w="4532"/>
        <w:gridCol w:w="4528"/>
      </w:tblGrid>
      <w:tr w:rsidR="00316A4D" w:rsidRPr="00316A4D" w:rsidTr="00CF5705">
        <w:tc>
          <w:tcPr>
            <w:tcW w:w="4755" w:type="dxa"/>
          </w:tcPr>
          <w:p w:rsidR="00316A4D" w:rsidRPr="00316A4D" w:rsidRDefault="00316A4D" w:rsidP="00316A4D">
            <w:pPr>
              <w:spacing w:before="120"/>
              <w:ind w:left="851"/>
              <w:rPr>
                <w:rFonts w:ascii="Arial" w:eastAsia="Calibri" w:hAnsi="Arial"/>
                <w:b/>
                <w:sz w:val="18"/>
                <w:szCs w:val="18"/>
                <w:lang w:val="es-CR" w:eastAsia="en-US"/>
              </w:rPr>
            </w:pPr>
            <w:r w:rsidRPr="00316A4D">
              <w:rPr>
                <w:rFonts w:ascii="Arial" w:eastAsia="Calibri" w:hAnsi="Arial"/>
                <w:b/>
                <w:sz w:val="18"/>
                <w:szCs w:val="18"/>
                <w:lang w:val="es-CR" w:eastAsia="en-US"/>
              </w:rPr>
              <w:t>DEPENDENCIAS</w:t>
            </w:r>
          </w:p>
        </w:tc>
        <w:tc>
          <w:tcPr>
            <w:tcW w:w="4755" w:type="dxa"/>
          </w:tcPr>
          <w:p w:rsidR="00316A4D" w:rsidRPr="00316A4D" w:rsidRDefault="00316A4D" w:rsidP="00316A4D">
            <w:pPr>
              <w:spacing w:before="120"/>
              <w:ind w:left="851"/>
              <w:rPr>
                <w:rFonts w:ascii="Arial" w:eastAsia="Calibri" w:hAnsi="Arial"/>
                <w:b/>
                <w:sz w:val="18"/>
                <w:szCs w:val="18"/>
                <w:lang w:val="es-CR" w:eastAsia="en-US"/>
              </w:rPr>
            </w:pPr>
            <w:r w:rsidRPr="00316A4D">
              <w:rPr>
                <w:rFonts w:ascii="Arial" w:eastAsia="Calibri" w:hAnsi="Arial"/>
                <w:b/>
                <w:sz w:val="18"/>
                <w:szCs w:val="18"/>
                <w:lang w:val="es-CR" w:eastAsia="en-US"/>
              </w:rPr>
              <w:t>FUNCIONARIAS Y FUNCIONARIOS</w:t>
            </w:r>
          </w:p>
        </w:tc>
      </w:tr>
      <w:tr w:rsidR="00316A4D" w:rsidRPr="00316A4D" w:rsidTr="00CF5705">
        <w:tc>
          <w:tcPr>
            <w:tcW w:w="4755" w:type="dxa"/>
          </w:tcPr>
          <w:p w:rsidR="00316A4D" w:rsidRPr="00316A4D" w:rsidRDefault="00316A4D" w:rsidP="00316A4D">
            <w:pPr>
              <w:ind w:left="97"/>
              <w:rPr>
                <w:rFonts w:ascii="Arial" w:eastAsia="Calibri" w:hAnsi="Arial"/>
                <w:sz w:val="18"/>
                <w:szCs w:val="18"/>
                <w:lang w:val="es-CR" w:eastAsia="en-US"/>
              </w:rPr>
            </w:pPr>
          </w:p>
          <w:p w:rsidR="00316A4D" w:rsidRPr="00316A4D" w:rsidRDefault="00316A4D" w:rsidP="00316A4D">
            <w:pPr>
              <w:numPr>
                <w:ilvl w:val="0"/>
                <w:numId w:val="37"/>
              </w:numPr>
              <w:ind w:left="457"/>
              <w:rPr>
                <w:rFonts w:ascii="Arial" w:eastAsia="Calibri" w:hAnsi="Arial"/>
                <w:sz w:val="18"/>
                <w:szCs w:val="18"/>
                <w:lang w:val="es-CR" w:eastAsia="en-US"/>
              </w:rPr>
            </w:pPr>
            <w:r w:rsidRPr="00316A4D">
              <w:rPr>
                <w:rFonts w:ascii="Arial" w:eastAsia="Calibri" w:hAnsi="Arial"/>
                <w:sz w:val="18"/>
                <w:szCs w:val="18"/>
                <w:lang w:val="es-CR" w:eastAsia="en-US"/>
              </w:rPr>
              <w:t>Escuela de Física</w:t>
            </w:r>
          </w:p>
          <w:p w:rsidR="00316A4D" w:rsidRPr="00316A4D" w:rsidRDefault="00316A4D" w:rsidP="00316A4D">
            <w:pPr>
              <w:numPr>
                <w:ilvl w:val="0"/>
                <w:numId w:val="37"/>
              </w:numPr>
              <w:ind w:left="457"/>
              <w:rPr>
                <w:rFonts w:ascii="Arial" w:eastAsia="Calibri" w:hAnsi="Arial"/>
                <w:sz w:val="18"/>
                <w:szCs w:val="18"/>
                <w:lang w:val="es-CR" w:eastAsia="en-US"/>
              </w:rPr>
            </w:pPr>
            <w:r w:rsidRPr="00316A4D">
              <w:rPr>
                <w:rFonts w:ascii="Arial" w:eastAsia="Calibri" w:hAnsi="Arial"/>
                <w:sz w:val="18"/>
                <w:szCs w:val="18"/>
                <w:lang w:val="es-CR" w:eastAsia="en-US"/>
              </w:rPr>
              <w:t>Recursos Humanos</w:t>
            </w:r>
          </w:p>
          <w:p w:rsidR="00316A4D" w:rsidRPr="00316A4D" w:rsidRDefault="00316A4D" w:rsidP="00316A4D">
            <w:pPr>
              <w:numPr>
                <w:ilvl w:val="0"/>
                <w:numId w:val="37"/>
              </w:numPr>
              <w:ind w:left="457"/>
              <w:rPr>
                <w:rFonts w:ascii="Arial" w:eastAsia="Calibri" w:hAnsi="Arial"/>
                <w:sz w:val="18"/>
                <w:szCs w:val="18"/>
                <w:lang w:val="es-CR" w:eastAsia="en-US"/>
              </w:rPr>
            </w:pPr>
            <w:r w:rsidRPr="00316A4D">
              <w:rPr>
                <w:rFonts w:ascii="Arial" w:eastAsia="Calibri" w:hAnsi="Arial"/>
                <w:sz w:val="18"/>
                <w:szCs w:val="18"/>
                <w:lang w:val="es-CR" w:eastAsia="en-US"/>
              </w:rPr>
              <w:t>Oficina de Planificación Institucional</w:t>
            </w:r>
          </w:p>
          <w:p w:rsidR="00316A4D" w:rsidRPr="00316A4D" w:rsidRDefault="00316A4D" w:rsidP="00316A4D">
            <w:pPr>
              <w:numPr>
                <w:ilvl w:val="0"/>
                <w:numId w:val="37"/>
              </w:numPr>
              <w:ind w:left="457"/>
              <w:rPr>
                <w:rFonts w:ascii="Arial" w:eastAsia="Calibri" w:hAnsi="Arial"/>
                <w:sz w:val="18"/>
                <w:szCs w:val="18"/>
                <w:lang w:val="es-CR" w:eastAsia="en-US"/>
              </w:rPr>
            </w:pPr>
            <w:r w:rsidRPr="00316A4D">
              <w:rPr>
                <w:rFonts w:ascii="Arial" w:eastAsia="Calibri" w:hAnsi="Arial"/>
                <w:sz w:val="18"/>
                <w:szCs w:val="18"/>
                <w:lang w:val="es-CR" w:eastAsia="en-US"/>
              </w:rPr>
              <w:t>Escuela Ingeniería Agrícola</w:t>
            </w:r>
          </w:p>
          <w:p w:rsidR="00316A4D" w:rsidRPr="00316A4D" w:rsidRDefault="00316A4D" w:rsidP="00316A4D">
            <w:pPr>
              <w:tabs>
                <w:tab w:val="center" w:pos="2269"/>
              </w:tabs>
              <w:rPr>
                <w:sz w:val="20"/>
                <w:szCs w:val="20"/>
                <w:lang w:val="es-CR" w:eastAsia="en-US"/>
              </w:rPr>
            </w:pPr>
          </w:p>
          <w:p w:rsidR="00316A4D" w:rsidRPr="00316A4D" w:rsidRDefault="00316A4D" w:rsidP="00316A4D">
            <w:pPr>
              <w:jc w:val="both"/>
              <w:rPr>
                <w:rFonts w:ascii="Arial" w:hAnsi="Arial" w:cs="Arial"/>
                <w:lang w:val="es-ES_tradnl"/>
              </w:rPr>
            </w:pPr>
          </w:p>
        </w:tc>
        <w:tc>
          <w:tcPr>
            <w:tcW w:w="4755" w:type="dxa"/>
          </w:tcPr>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Juan Carlos Carvajal Morales</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Carlos Alvarado Ulloa</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Gustavo Richmond Navarro</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Jorge Monge Fallas</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Karolina Villagra Mendoza</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Natalia Murillo Quirós</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 xml:space="preserve">Manuel </w:t>
            </w:r>
            <w:proofErr w:type="gramStart"/>
            <w:r w:rsidRPr="00316A4D">
              <w:rPr>
                <w:rFonts w:ascii="Arial" w:eastAsia="Calibri" w:hAnsi="Arial"/>
                <w:sz w:val="18"/>
                <w:szCs w:val="18"/>
                <w:lang w:val="es-CR" w:eastAsia="en-US"/>
              </w:rPr>
              <w:t>Murillo  Tsijli</w:t>
            </w:r>
            <w:proofErr w:type="gramEnd"/>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lastRenderedPageBreak/>
              <w:t>Sandra Schmidt Quesada</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Sonia Barboza Flores</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Rosaura Brenes Solano</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Ernesto Montero Zeledón</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Benjamín Campos Chavarría</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Ricardo Monge González</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Víctor Julio Hernández González</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 xml:space="preserve">Luis Diego Murillo Soto </w:t>
            </w:r>
            <w:r w:rsidRPr="00316A4D">
              <w:rPr>
                <w:rFonts w:ascii="Arial" w:eastAsia="Calibri" w:hAnsi="Arial"/>
                <w:sz w:val="18"/>
                <w:szCs w:val="18"/>
                <w:lang w:val="es-CR" w:eastAsia="en-US"/>
              </w:rPr>
              <w:br/>
              <w:t>Mario Marín Sánchez</w:t>
            </w:r>
          </w:p>
          <w:p w:rsidR="00316A4D" w:rsidRPr="00316A4D" w:rsidRDefault="00316A4D" w:rsidP="00316A4D">
            <w:pPr>
              <w:numPr>
                <w:ilvl w:val="0"/>
                <w:numId w:val="38"/>
              </w:numPr>
              <w:ind w:left="375"/>
              <w:rPr>
                <w:rFonts w:ascii="Arial" w:eastAsia="Calibri" w:hAnsi="Arial"/>
                <w:sz w:val="18"/>
                <w:szCs w:val="18"/>
                <w:lang w:val="es-CR" w:eastAsia="en-US"/>
              </w:rPr>
            </w:pPr>
            <w:r w:rsidRPr="00316A4D">
              <w:rPr>
                <w:rFonts w:ascii="Arial" w:eastAsia="Calibri" w:hAnsi="Arial"/>
                <w:sz w:val="18"/>
                <w:szCs w:val="18"/>
                <w:lang w:val="es-CR" w:eastAsia="en-US"/>
              </w:rPr>
              <w:t>Mónica Zúñiga Rivera</w:t>
            </w:r>
          </w:p>
          <w:p w:rsidR="00316A4D" w:rsidRPr="00316A4D" w:rsidRDefault="00316A4D" w:rsidP="00316A4D">
            <w:pPr>
              <w:numPr>
                <w:ilvl w:val="0"/>
                <w:numId w:val="38"/>
              </w:numPr>
              <w:ind w:left="375"/>
              <w:rPr>
                <w:rFonts w:ascii="Arial" w:eastAsia="Calibri" w:hAnsi="Arial" w:cs="Arial"/>
                <w:b/>
                <w:caps/>
                <w:lang w:val="es-ES_tradnl" w:eastAsia="en-US"/>
              </w:rPr>
            </w:pPr>
            <w:r w:rsidRPr="00316A4D">
              <w:rPr>
                <w:rFonts w:ascii="Arial" w:eastAsia="Calibri" w:hAnsi="Arial"/>
                <w:sz w:val="18"/>
                <w:szCs w:val="18"/>
                <w:lang w:val="es-CR" w:eastAsia="en-US"/>
              </w:rPr>
              <w:t>Virginia Montero Campos</w:t>
            </w:r>
          </w:p>
        </w:tc>
      </w:tr>
    </w:tbl>
    <w:p w:rsidR="00316A4D" w:rsidRPr="00316A4D" w:rsidRDefault="00316A4D" w:rsidP="00316A4D">
      <w:pPr>
        <w:jc w:val="both"/>
        <w:rPr>
          <w:rFonts w:ascii="Arial" w:hAnsi="Arial" w:cs="Arial"/>
          <w:lang w:val="es-ES_tradnl"/>
        </w:rPr>
      </w:pPr>
    </w:p>
    <w:p w:rsid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La Comisión de Planificación y Administración, en las reuniones No. 791-2018 del jueves 11 de octubre de 2019 y No. 793-2019 del jueves 25 de octubre 2019, da audiencia a la Comisión </w:t>
      </w:r>
      <w:r w:rsidRPr="00316A4D">
        <w:rPr>
          <w:rFonts w:ascii="Arial" w:hAnsi="Arial" w:cs="Arial"/>
          <w:lang w:val="es-CR"/>
        </w:rPr>
        <w:t xml:space="preserve">de Evaluación y </w:t>
      </w:r>
      <w:r w:rsidRPr="00316A4D">
        <w:rPr>
          <w:rFonts w:ascii="Arial" w:hAnsi="Arial" w:cs="Arial"/>
          <w:lang w:val="es-ES_tradnl"/>
        </w:rPr>
        <w:t xml:space="preserve">Comisión de Carrera Administrativa y de Apoyo a la Academia, respectivamente, para ampliar el criterio de ambas comisiones sobre la propuesta de </w:t>
      </w:r>
      <w:r w:rsidRPr="00316A4D">
        <w:rPr>
          <w:rFonts w:ascii="Arial" w:hAnsi="Arial" w:cs="Arial"/>
          <w:lang w:val="es-CR"/>
        </w:rPr>
        <w:t>“Reglamento de Carrera de Méritos del ITCR”</w:t>
      </w:r>
      <w:r w:rsidRPr="00316A4D">
        <w:rPr>
          <w:rFonts w:ascii="Arial" w:hAnsi="Arial" w:cs="Arial"/>
          <w:lang w:val="es-ES_tradnl"/>
        </w:rPr>
        <w:t>.</w:t>
      </w:r>
    </w:p>
    <w:p w:rsidR="00316A4D" w:rsidRPr="00316A4D" w:rsidRDefault="00316A4D" w:rsidP="00316A4D">
      <w:pPr>
        <w:ind w:left="360"/>
        <w:jc w:val="both"/>
        <w:rPr>
          <w:rFonts w:ascii="Arial" w:hAnsi="Arial" w:cs="Arial"/>
          <w:lang w:val="es-ES_tradnl"/>
        </w:rPr>
      </w:pPr>
      <w:r w:rsidRPr="00316A4D">
        <w:rPr>
          <w:rFonts w:ascii="Arial" w:hAnsi="Arial" w:cs="Arial"/>
          <w:lang w:val="es-ES_tradnl"/>
        </w:rPr>
        <w:t xml:space="preserve">  </w:t>
      </w: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En las comparecencias de la Comisión </w:t>
      </w:r>
      <w:r w:rsidRPr="00316A4D">
        <w:rPr>
          <w:rFonts w:ascii="Arial" w:hAnsi="Arial" w:cs="Arial"/>
          <w:lang w:val="es-CR"/>
        </w:rPr>
        <w:t xml:space="preserve">de Evaluación y </w:t>
      </w:r>
      <w:r w:rsidRPr="00316A4D">
        <w:rPr>
          <w:rFonts w:ascii="Arial" w:hAnsi="Arial" w:cs="Arial"/>
          <w:lang w:val="es-ES_tradnl"/>
        </w:rPr>
        <w:t>Comisión de Carrera Administrativa y de Apoyo a la Academia, consignadas en el considerando 12, sus integrantes plantearon la necesidad de introducir reformas a los reglamentos correspondientes.</w:t>
      </w:r>
    </w:p>
    <w:p w:rsidR="00316A4D" w:rsidRPr="00316A4D" w:rsidRDefault="00316A4D" w:rsidP="00316A4D">
      <w:pPr>
        <w:tabs>
          <w:tab w:val="num" w:pos="360"/>
        </w:tabs>
        <w:ind w:left="360"/>
        <w:jc w:val="both"/>
        <w:rPr>
          <w:rFonts w:ascii="Arial" w:hAnsi="Arial" w:cs="Arial"/>
          <w:sz w:val="16"/>
          <w:szCs w:val="16"/>
          <w:lang w:val="es-ES_tradnl"/>
        </w:rPr>
      </w:pPr>
    </w:p>
    <w:p w:rsidR="00316A4D" w:rsidRPr="00316A4D" w:rsidRDefault="00316A4D" w:rsidP="00316A4D">
      <w:pPr>
        <w:numPr>
          <w:ilvl w:val="0"/>
          <w:numId w:val="33"/>
        </w:numPr>
        <w:tabs>
          <w:tab w:val="num" w:pos="360"/>
        </w:tabs>
        <w:ind w:left="360"/>
        <w:jc w:val="both"/>
        <w:rPr>
          <w:rFonts w:ascii="Arial" w:hAnsi="Arial" w:cs="Arial"/>
          <w:lang w:val="es-ES_tradnl"/>
        </w:rPr>
      </w:pPr>
      <w:r w:rsidRPr="00316A4D">
        <w:rPr>
          <w:rFonts w:ascii="Arial" w:hAnsi="Arial" w:cs="Arial"/>
          <w:lang w:val="es-ES_tradnl"/>
        </w:rPr>
        <w:t xml:space="preserve"> La Comisión de Planificación y Administración en la reunión No. 794-2018, realizada el 1° de noviembre de 2018, revisa ampliamente los criterios detallados en los considerandos anteriores y concluye que lo conveniente es suspender en forma definitiva el trámite de la propuesta de </w:t>
      </w:r>
      <w:r w:rsidRPr="00316A4D">
        <w:rPr>
          <w:rFonts w:ascii="Arial" w:hAnsi="Arial" w:cs="Arial"/>
          <w:lang w:val="es-CR"/>
        </w:rPr>
        <w:t>“Reglamento de Carrera de Méritos del ITCR”</w:t>
      </w:r>
      <w:r w:rsidRPr="00316A4D">
        <w:rPr>
          <w:rFonts w:ascii="Arial" w:hAnsi="Arial" w:cs="Arial"/>
          <w:lang w:val="es-ES_tradnl"/>
        </w:rPr>
        <w:t>. elaborada por la Comisión y enviada a consulta de la Comunidad Institucional, mediante acuerdo del Consejo Institucional de la Sesión Ordinaria No. 3078, Artículo 12, del 27 de junio de 2018.</w:t>
      </w:r>
    </w:p>
    <w:p w:rsidR="00316A4D" w:rsidRPr="00316A4D" w:rsidRDefault="00316A4D" w:rsidP="00316A4D">
      <w:pPr>
        <w:rPr>
          <w:rFonts w:ascii="Arial" w:hAnsi="Arial" w:cs="Arial"/>
          <w:b/>
          <w:i/>
          <w:sz w:val="18"/>
          <w:szCs w:val="18"/>
          <w:lang w:val="es-CR"/>
        </w:rPr>
      </w:pPr>
    </w:p>
    <w:p w:rsidR="00316A4D" w:rsidRPr="00316A4D" w:rsidRDefault="00316A4D" w:rsidP="00316A4D">
      <w:pPr>
        <w:jc w:val="both"/>
        <w:rPr>
          <w:rFonts w:ascii="Arial" w:hAnsi="Arial" w:cs="Arial"/>
          <w:b/>
          <w:bCs/>
        </w:rPr>
      </w:pPr>
      <w:r w:rsidRPr="00316A4D">
        <w:rPr>
          <w:rFonts w:ascii="Arial" w:hAnsi="Arial" w:cs="Arial"/>
          <w:b/>
          <w:bCs/>
        </w:rPr>
        <w:t>SE</w:t>
      </w:r>
      <w:r>
        <w:rPr>
          <w:rFonts w:ascii="Arial" w:hAnsi="Arial" w:cs="Arial"/>
          <w:b/>
          <w:bCs/>
        </w:rPr>
        <w:t xml:space="preserve"> ACUERDA</w:t>
      </w:r>
      <w:r w:rsidRPr="00316A4D">
        <w:rPr>
          <w:rFonts w:ascii="Arial" w:hAnsi="Arial" w:cs="Arial"/>
          <w:b/>
          <w:bCs/>
        </w:rPr>
        <w:t>:</w:t>
      </w:r>
    </w:p>
    <w:p w:rsidR="00316A4D" w:rsidRPr="00316A4D" w:rsidRDefault="00316A4D" w:rsidP="00316A4D">
      <w:pPr>
        <w:rPr>
          <w:rFonts w:ascii="Arial" w:hAnsi="Arial" w:cs="Arial"/>
          <w:b/>
          <w:i/>
          <w:sz w:val="16"/>
          <w:szCs w:val="16"/>
        </w:rPr>
      </w:pPr>
    </w:p>
    <w:p w:rsidR="00316A4D" w:rsidRPr="00316A4D" w:rsidRDefault="00316A4D" w:rsidP="00316A4D">
      <w:pPr>
        <w:numPr>
          <w:ilvl w:val="0"/>
          <w:numId w:val="32"/>
        </w:numPr>
        <w:tabs>
          <w:tab w:val="left" w:pos="426"/>
        </w:tabs>
        <w:ind w:left="426"/>
        <w:contextualSpacing/>
        <w:jc w:val="both"/>
        <w:rPr>
          <w:rFonts w:ascii="Arial" w:hAnsi="Arial" w:cs="Arial"/>
          <w:b/>
          <w:i/>
          <w:sz w:val="16"/>
          <w:szCs w:val="16"/>
        </w:rPr>
      </w:pPr>
      <w:r w:rsidRPr="00316A4D">
        <w:rPr>
          <w:rFonts w:ascii="ArialMT" w:eastAsia="Cambria" w:hAnsi="ArialMT" w:cs="ArialMT"/>
          <w:lang w:eastAsia="es-CR"/>
        </w:rPr>
        <w:t xml:space="preserve">Suspender en forma definitiva el trámite de la propuesta </w:t>
      </w:r>
      <w:proofErr w:type="gramStart"/>
      <w:r w:rsidRPr="00316A4D">
        <w:rPr>
          <w:rFonts w:ascii="ArialMT" w:eastAsia="Cambria" w:hAnsi="ArialMT" w:cs="ArialMT"/>
          <w:lang w:eastAsia="es-CR"/>
        </w:rPr>
        <w:t xml:space="preserve">de  </w:t>
      </w:r>
      <w:r w:rsidRPr="00316A4D">
        <w:rPr>
          <w:rFonts w:ascii="Arial" w:hAnsi="Arial" w:cs="Arial"/>
          <w:lang w:val="es-CR"/>
        </w:rPr>
        <w:t>“</w:t>
      </w:r>
      <w:proofErr w:type="gramEnd"/>
      <w:r w:rsidRPr="00316A4D">
        <w:rPr>
          <w:rFonts w:ascii="Arial" w:hAnsi="Arial" w:cs="Arial"/>
          <w:lang w:val="es-CR"/>
        </w:rPr>
        <w:t>Reglamento de Carrera de Méritos del ITCR”</w:t>
      </w:r>
      <w:r w:rsidRPr="00316A4D">
        <w:rPr>
          <w:rFonts w:ascii="Arial" w:hAnsi="Arial" w:cs="Arial"/>
          <w:lang w:val="es-ES_tradnl"/>
        </w:rPr>
        <w:t xml:space="preserve"> </w:t>
      </w:r>
      <w:r w:rsidRPr="00316A4D">
        <w:rPr>
          <w:rFonts w:ascii="Arial" w:hAnsi="Arial" w:cs="Arial"/>
          <w:lang w:val="es-CR"/>
        </w:rPr>
        <w:t xml:space="preserve">elaborada por la Comisión de Planificación y Administración,  </w:t>
      </w:r>
      <w:r w:rsidRPr="00316A4D">
        <w:rPr>
          <w:rFonts w:ascii="Arial" w:hAnsi="Arial" w:cs="Arial"/>
          <w:lang w:val="es-ES_tradnl"/>
        </w:rPr>
        <w:t>según consulta de la Comunidad Institucional, mediante acuerdo del Consejo Institucional, Sesión Ordinaria No. 3078, Artículo 12, del 27 de junio de 2018, y ordenar su archivo.</w:t>
      </w:r>
    </w:p>
    <w:p w:rsidR="00316A4D" w:rsidRPr="00316A4D" w:rsidRDefault="00316A4D" w:rsidP="00316A4D">
      <w:pPr>
        <w:rPr>
          <w:rFonts w:ascii="Arial" w:hAnsi="Arial" w:cs="Arial"/>
          <w:b/>
          <w:i/>
          <w:sz w:val="16"/>
          <w:szCs w:val="16"/>
        </w:rPr>
      </w:pPr>
    </w:p>
    <w:p w:rsidR="00316A4D" w:rsidRPr="00316A4D" w:rsidRDefault="00316A4D" w:rsidP="00316A4D">
      <w:pPr>
        <w:numPr>
          <w:ilvl w:val="0"/>
          <w:numId w:val="32"/>
        </w:numPr>
        <w:tabs>
          <w:tab w:val="left" w:pos="426"/>
        </w:tabs>
        <w:ind w:left="426"/>
        <w:contextualSpacing/>
        <w:jc w:val="both"/>
        <w:rPr>
          <w:rFonts w:ascii="Arial" w:hAnsi="Arial" w:cs="Arial"/>
          <w:b/>
          <w:i/>
          <w:sz w:val="16"/>
          <w:szCs w:val="16"/>
        </w:rPr>
      </w:pPr>
      <w:r w:rsidRPr="00316A4D">
        <w:rPr>
          <w:rFonts w:ascii="ArialMT" w:eastAsia="Cambria" w:hAnsi="ArialMT" w:cs="ArialMT"/>
          <w:lang w:eastAsia="es-CR"/>
        </w:rPr>
        <w:t xml:space="preserve">Solicitar a la </w:t>
      </w:r>
      <w:r w:rsidRPr="00316A4D">
        <w:rPr>
          <w:rFonts w:ascii="Arial" w:hAnsi="Arial" w:cs="Arial"/>
          <w:lang w:val="es-ES_tradnl"/>
        </w:rPr>
        <w:t xml:space="preserve">Comisión </w:t>
      </w:r>
      <w:r w:rsidRPr="00316A4D">
        <w:rPr>
          <w:rFonts w:ascii="Arial" w:hAnsi="Arial" w:cs="Arial"/>
          <w:lang w:val="es-CR"/>
        </w:rPr>
        <w:t xml:space="preserve">de Evaluación y a la </w:t>
      </w:r>
      <w:r w:rsidRPr="00316A4D">
        <w:rPr>
          <w:rFonts w:ascii="Arial" w:hAnsi="Arial" w:cs="Arial"/>
          <w:lang w:val="es-ES_tradnl"/>
        </w:rPr>
        <w:t>Comisión de Carrera Administrativa y de Apoyo a la Academia, que presenten sendas propuestas de reformas puntuales al “Reglamento de carrera profesional del Instituto Tecnológico de Costa Rica y sus reformas” y “Reglamento del Sistema Escalafón de Carrera Administrativa y de la Academia”, respectivamente, que favorezca la actualización de esa normativa.</w:t>
      </w:r>
    </w:p>
    <w:p w:rsidR="00110466" w:rsidRPr="00316A4D" w:rsidRDefault="00110466" w:rsidP="001547B6">
      <w:pPr>
        <w:jc w:val="both"/>
        <w:rPr>
          <w:rFonts w:ascii="Arial" w:eastAsia="Cambria" w:hAnsi="Arial" w:cs="Arial"/>
          <w:lang w:eastAsia="en-US"/>
        </w:rPr>
      </w:pPr>
    </w:p>
    <w:p w:rsidR="00316A4D" w:rsidRPr="005D359E" w:rsidRDefault="00BB6A5E" w:rsidP="00316A4D">
      <w:pPr>
        <w:numPr>
          <w:ilvl w:val="0"/>
          <w:numId w:val="32"/>
        </w:numPr>
        <w:tabs>
          <w:tab w:val="left" w:pos="426"/>
        </w:tabs>
        <w:ind w:left="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316A4D" w:rsidRDefault="00316A4D" w:rsidP="00316A4D">
      <w:pPr>
        <w:autoSpaceDE w:val="0"/>
        <w:autoSpaceDN w:val="0"/>
        <w:adjustRightInd w:val="0"/>
        <w:jc w:val="both"/>
        <w:rPr>
          <w:rFonts w:ascii="Arial" w:hAnsi="Arial" w:cs="Arial"/>
          <w:b/>
          <w:lang w:val="es-CR"/>
        </w:rPr>
      </w:pPr>
    </w:p>
    <w:p w:rsidR="00D31E17" w:rsidRPr="005D359E" w:rsidRDefault="00316A4D" w:rsidP="005D359E">
      <w:pPr>
        <w:jc w:val="both"/>
        <w:rPr>
          <w:rFonts w:ascii="Arial" w:hAnsi="Arial" w:cs="Arial"/>
          <w:b/>
          <w:i/>
          <w:sz w:val="22"/>
          <w:szCs w:val="22"/>
        </w:rPr>
      </w:pPr>
      <w:r w:rsidRPr="00316A4D">
        <w:rPr>
          <w:rFonts w:ascii="Arial" w:hAnsi="Arial" w:cs="Arial"/>
          <w:b/>
          <w:i/>
          <w:sz w:val="22"/>
          <w:szCs w:val="22"/>
        </w:rPr>
        <w:t>Palabras clave: suspender – trámite – Reglamento – Carrera – Méritos - ITCR</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Pr="00D31E17" w:rsidRDefault="00C413F4" w:rsidP="00F41044">
      <w:pPr>
        <w:jc w:val="both"/>
        <w:rPr>
          <w:rFonts w:ascii="Arial" w:eastAsia="Cambria" w:hAnsi="Arial" w:cs="Arial"/>
          <w:b/>
          <w:sz w:val="16"/>
          <w:szCs w:val="16"/>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C413F4" w:rsidRDefault="00F41044" w:rsidP="00F41044">
      <w:pPr>
        <w:jc w:val="both"/>
        <w:rPr>
          <w:rFonts w:ascii="Arial" w:hAnsi="Arial" w:cs="Arial"/>
          <w:lang w:val="en-US"/>
        </w:rPr>
      </w:pPr>
      <w:proofErr w:type="spellStart"/>
      <w:proofErr w:type="gramStart"/>
      <w:r w:rsidRPr="00C413F4">
        <w:rPr>
          <w:rFonts w:ascii="Arial" w:eastAsia="Cambria" w:hAnsi="Arial" w:cs="Arial"/>
          <w:sz w:val="22"/>
          <w:szCs w:val="22"/>
          <w:lang w:val="en-US" w:eastAsia="en-US"/>
        </w:rPr>
        <w:t>ars</w:t>
      </w:r>
      <w:proofErr w:type="spellEnd"/>
      <w:proofErr w:type="gramEnd"/>
      <w:r w:rsidR="00885F0A" w:rsidRPr="00C413F4">
        <w:rPr>
          <w:rFonts w:ascii="Arial" w:hAnsi="Arial" w:cs="Arial"/>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3FD" w:rsidRDefault="005353FD">
      <w:r>
        <w:separator/>
      </w:r>
    </w:p>
  </w:endnote>
  <w:endnote w:type="continuationSeparator" w:id="0">
    <w:p w:rsidR="005353FD" w:rsidRDefault="0053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3FD" w:rsidRDefault="005353FD">
      <w:r>
        <w:separator/>
      </w:r>
    </w:p>
  </w:footnote>
  <w:footnote w:type="continuationSeparator" w:id="0">
    <w:p w:rsidR="005353FD" w:rsidRDefault="00535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8F0835">
      <w:rPr>
        <w:rFonts w:ascii="Arial" w:eastAsia="Cambria" w:hAnsi="Arial" w:cs="Arial"/>
        <w:i/>
        <w:sz w:val="18"/>
        <w:szCs w:val="18"/>
        <w:lang w:val="es-ES_tradnl" w:eastAsia="x-none"/>
      </w:rPr>
      <w:t>9</w:t>
    </w:r>
    <w:r w:rsidR="00316A4D">
      <w:rPr>
        <w:rFonts w:ascii="Arial" w:eastAsia="Cambria" w:hAnsi="Arial" w:cs="Arial"/>
        <w:i/>
        <w:sz w:val="18"/>
        <w:szCs w:val="18"/>
        <w:lang w:val="es-ES_tradnl" w:eastAsia="x-none"/>
      </w:rPr>
      <w:t>6</w:t>
    </w:r>
    <w:r w:rsidRPr="00D958BC">
      <w:rPr>
        <w:rFonts w:ascii="Arial" w:eastAsia="Cambria" w:hAnsi="Arial" w:cs="Arial"/>
        <w:i/>
        <w:sz w:val="18"/>
        <w:szCs w:val="18"/>
        <w:lang w:val="es-ES_tradnl" w:eastAsia="x-none"/>
      </w:rPr>
      <w:t xml:space="preserve">, Artículo </w:t>
    </w:r>
    <w:r w:rsidR="00C34FD2">
      <w:rPr>
        <w:rFonts w:ascii="Arial" w:eastAsia="Cambria" w:hAnsi="Arial" w:cs="Arial"/>
        <w:i/>
        <w:sz w:val="18"/>
        <w:szCs w:val="18"/>
        <w:lang w:val="es-ES_tradnl" w:eastAsia="x-none"/>
      </w:rPr>
      <w:t>1</w:t>
    </w:r>
    <w:r w:rsidR="00316A4D">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del </w:t>
    </w:r>
    <w:r w:rsidR="00316A4D">
      <w:rPr>
        <w:rFonts w:ascii="Arial" w:eastAsia="Cambria" w:hAnsi="Arial" w:cs="Arial"/>
        <w:i/>
        <w:sz w:val="18"/>
        <w:szCs w:val="18"/>
        <w:lang w:val="es-ES_tradnl" w:eastAsia="x-none"/>
      </w:rPr>
      <w:t xml:space="preserve">07 de noviembre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D359E">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F850F6"/>
    <w:multiLevelType w:val="hybridMultilevel"/>
    <w:tmpl w:val="EEB41B14"/>
    <w:lvl w:ilvl="0" w:tplc="2B3CE8A0">
      <w:start w:val="1"/>
      <w:numFmt w:val="lowerLetter"/>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0AF21CEC"/>
    <w:multiLevelType w:val="hybridMultilevel"/>
    <w:tmpl w:val="1C1CC732"/>
    <w:lvl w:ilvl="0" w:tplc="505E82AE">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5" w15:restartNumberingAfterBreak="0">
    <w:nsid w:val="0DC86D3F"/>
    <w:multiLevelType w:val="hybridMultilevel"/>
    <w:tmpl w:val="1786D6A6"/>
    <w:lvl w:ilvl="0" w:tplc="2450879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20DE21A9"/>
    <w:multiLevelType w:val="hybridMultilevel"/>
    <w:tmpl w:val="A83C82D2"/>
    <w:lvl w:ilvl="0" w:tplc="5BD8F604">
      <w:start w:val="1"/>
      <w:numFmt w:val="decimal"/>
      <w:lvlText w:val="%1."/>
      <w:lvlJc w:val="left"/>
      <w:pPr>
        <w:ind w:left="644" w:hanging="360"/>
      </w:pPr>
      <w:rPr>
        <w:rFonts w:hint="default"/>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5814EE"/>
    <w:multiLevelType w:val="hybridMultilevel"/>
    <w:tmpl w:val="1C52E866"/>
    <w:lvl w:ilvl="0" w:tplc="06D213A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D79319D"/>
    <w:multiLevelType w:val="hybridMultilevel"/>
    <w:tmpl w:val="F67A4DF4"/>
    <w:lvl w:ilvl="0" w:tplc="330485FE">
      <w:start w:val="1"/>
      <w:numFmt w:val="decimal"/>
      <w:lvlText w:val="%1."/>
      <w:lvlJc w:val="left"/>
      <w:pPr>
        <w:ind w:left="720" w:hanging="36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F424547"/>
    <w:multiLevelType w:val="hybridMultilevel"/>
    <w:tmpl w:val="7E26FED8"/>
    <w:lvl w:ilvl="0" w:tplc="6338B610">
      <w:start w:val="1"/>
      <w:numFmt w:val="decimal"/>
      <w:lvlText w:val="%1."/>
      <w:lvlJc w:val="left"/>
      <w:pPr>
        <w:ind w:left="720" w:hanging="720"/>
      </w:pPr>
      <w:rPr>
        <w:rFonts w:hint="default"/>
        <w:b/>
      </w:rPr>
    </w:lvl>
    <w:lvl w:ilvl="1" w:tplc="140A0019" w:tentative="1">
      <w:start w:val="1"/>
      <w:numFmt w:val="lowerLetter"/>
      <w:lvlText w:val="%2."/>
      <w:lvlJc w:val="left"/>
      <w:pPr>
        <w:ind w:left="872" w:hanging="360"/>
      </w:pPr>
    </w:lvl>
    <w:lvl w:ilvl="2" w:tplc="140A001B" w:tentative="1">
      <w:start w:val="1"/>
      <w:numFmt w:val="lowerRoman"/>
      <w:lvlText w:val="%3."/>
      <w:lvlJc w:val="right"/>
      <w:pPr>
        <w:ind w:left="1592" w:hanging="180"/>
      </w:pPr>
    </w:lvl>
    <w:lvl w:ilvl="3" w:tplc="140A000F" w:tentative="1">
      <w:start w:val="1"/>
      <w:numFmt w:val="decimal"/>
      <w:lvlText w:val="%4."/>
      <w:lvlJc w:val="left"/>
      <w:pPr>
        <w:ind w:left="2312" w:hanging="360"/>
      </w:pPr>
    </w:lvl>
    <w:lvl w:ilvl="4" w:tplc="140A0019" w:tentative="1">
      <w:start w:val="1"/>
      <w:numFmt w:val="lowerLetter"/>
      <w:lvlText w:val="%5."/>
      <w:lvlJc w:val="left"/>
      <w:pPr>
        <w:ind w:left="3032" w:hanging="360"/>
      </w:pPr>
    </w:lvl>
    <w:lvl w:ilvl="5" w:tplc="140A001B" w:tentative="1">
      <w:start w:val="1"/>
      <w:numFmt w:val="lowerRoman"/>
      <w:lvlText w:val="%6."/>
      <w:lvlJc w:val="right"/>
      <w:pPr>
        <w:ind w:left="3752" w:hanging="180"/>
      </w:pPr>
    </w:lvl>
    <w:lvl w:ilvl="6" w:tplc="140A000F" w:tentative="1">
      <w:start w:val="1"/>
      <w:numFmt w:val="decimal"/>
      <w:lvlText w:val="%7."/>
      <w:lvlJc w:val="left"/>
      <w:pPr>
        <w:ind w:left="4472" w:hanging="360"/>
      </w:pPr>
    </w:lvl>
    <w:lvl w:ilvl="7" w:tplc="140A0019" w:tentative="1">
      <w:start w:val="1"/>
      <w:numFmt w:val="lowerLetter"/>
      <w:lvlText w:val="%8."/>
      <w:lvlJc w:val="left"/>
      <w:pPr>
        <w:ind w:left="5192" w:hanging="360"/>
      </w:pPr>
    </w:lvl>
    <w:lvl w:ilvl="8" w:tplc="140A001B" w:tentative="1">
      <w:start w:val="1"/>
      <w:numFmt w:val="lowerRoman"/>
      <w:lvlText w:val="%9."/>
      <w:lvlJc w:val="right"/>
      <w:pPr>
        <w:ind w:left="5912" w:hanging="180"/>
      </w:pPr>
    </w:lvl>
  </w:abstractNum>
  <w:abstractNum w:abstractNumId="12" w15:restartNumberingAfterBreak="0">
    <w:nsid w:val="31E269D0"/>
    <w:multiLevelType w:val="hybridMultilevel"/>
    <w:tmpl w:val="B9928B5C"/>
    <w:lvl w:ilvl="0" w:tplc="844A81B6">
      <w:start w:val="1"/>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13" w15:restartNumberingAfterBreak="0">
    <w:nsid w:val="35C86636"/>
    <w:multiLevelType w:val="hybridMultilevel"/>
    <w:tmpl w:val="DEF2A6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8" w15:restartNumberingAfterBreak="0">
    <w:nsid w:val="456A26E8"/>
    <w:multiLevelType w:val="hybridMultilevel"/>
    <w:tmpl w:val="4B2C2796"/>
    <w:lvl w:ilvl="0" w:tplc="030E7B34">
      <w:start w:val="1"/>
      <w:numFmt w:val="decimal"/>
      <w:lvlText w:val="%1."/>
      <w:lvlJc w:val="left"/>
      <w:pPr>
        <w:ind w:left="6172" w:hanging="360"/>
      </w:pPr>
      <w:rPr>
        <w:rFonts w:hint="default"/>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5F5132F"/>
    <w:multiLevelType w:val="hybridMultilevel"/>
    <w:tmpl w:val="4F26F5E4"/>
    <w:lvl w:ilvl="0" w:tplc="BECE645C">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7F427F0"/>
    <w:multiLevelType w:val="hybridMultilevel"/>
    <w:tmpl w:val="93DE44FE"/>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1" w15:restartNumberingAfterBreak="0">
    <w:nsid w:val="4C0F1C0F"/>
    <w:multiLevelType w:val="hybridMultilevel"/>
    <w:tmpl w:val="79448BA6"/>
    <w:lvl w:ilvl="0" w:tplc="F3DA9AD2">
      <w:start w:val="1"/>
      <w:numFmt w:val="lowerLetter"/>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633178C"/>
    <w:multiLevelType w:val="hybridMultilevel"/>
    <w:tmpl w:val="0FFA5260"/>
    <w:lvl w:ilvl="0" w:tplc="140A0017">
      <w:start w:val="1"/>
      <w:numFmt w:val="lowerLetter"/>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23" w15:restartNumberingAfterBreak="0">
    <w:nsid w:val="5A106128"/>
    <w:multiLevelType w:val="hybridMultilevel"/>
    <w:tmpl w:val="00C4C24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4"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273214D"/>
    <w:multiLevelType w:val="hybridMultilevel"/>
    <w:tmpl w:val="4C3888E2"/>
    <w:lvl w:ilvl="0" w:tplc="ADD8B408">
      <w:start w:val="1"/>
      <w:numFmt w:val="decimal"/>
      <w:lvlText w:val="%1."/>
      <w:lvlJc w:val="left"/>
      <w:pPr>
        <w:ind w:left="720" w:hanging="360"/>
      </w:pPr>
      <w:rPr>
        <w:rFonts w:hint="default"/>
        <w:b w:val="0"/>
        <w:i/>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8"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3A3422A"/>
    <w:multiLevelType w:val="hybridMultilevel"/>
    <w:tmpl w:val="1786D6A6"/>
    <w:lvl w:ilvl="0" w:tplc="24508792">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BD4CE6"/>
    <w:multiLevelType w:val="hybridMultilevel"/>
    <w:tmpl w:val="8A0EE344"/>
    <w:lvl w:ilvl="0" w:tplc="FDE4C5FA">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69786C3A"/>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EFA3189"/>
    <w:multiLevelType w:val="hybridMultilevel"/>
    <w:tmpl w:val="02582900"/>
    <w:lvl w:ilvl="0" w:tplc="7696D67A">
      <w:start w:val="1"/>
      <w:numFmt w:val="lowerLetter"/>
      <w:lvlText w:val="%1."/>
      <w:lvlJc w:val="left"/>
      <w:pPr>
        <w:ind w:left="689" w:hanging="360"/>
      </w:pPr>
      <w:rPr>
        <w:b/>
      </w:rPr>
    </w:lvl>
    <w:lvl w:ilvl="1" w:tplc="140A0019" w:tentative="1">
      <w:start w:val="1"/>
      <w:numFmt w:val="lowerLetter"/>
      <w:lvlText w:val="%2."/>
      <w:lvlJc w:val="left"/>
      <w:pPr>
        <w:ind w:left="1409" w:hanging="360"/>
      </w:pPr>
    </w:lvl>
    <w:lvl w:ilvl="2" w:tplc="140A001B" w:tentative="1">
      <w:start w:val="1"/>
      <w:numFmt w:val="lowerRoman"/>
      <w:lvlText w:val="%3."/>
      <w:lvlJc w:val="right"/>
      <w:pPr>
        <w:ind w:left="2129" w:hanging="180"/>
      </w:pPr>
    </w:lvl>
    <w:lvl w:ilvl="3" w:tplc="140A000F" w:tentative="1">
      <w:start w:val="1"/>
      <w:numFmt w:val="decimal"/>
      <w:lvlText w:val="%4."/>
      <w:lvlJc w:val="left"/>
      <w:pPr>
        <w:ind w:left="2849" w:hanging="360"/>
      </w:pPr>
    </w:lvl>
    <w:lvl w:ilvl="4" w:tplc="140A0019" w:tentative="1">
      <w:start w:val="1"/>
      <w:numFmt w:val="lowerLetter"/>
      <w:lvlText w:val="%5."/>
      <w:lvlJc w:val="left"/>
      <w:pPr>
        <w:ind w:left="3569" w:hanging="360"/>
      </w:pPr>
    </w:lvl>
    <w:lvl w:ilvl="5" w:tplc="140A001B" w:tentative="1">
      <w:start w:val="1"/>
      <w:numFmt w:val="lowerRoman"/>
      <w:lvlText w:val="%6."/>
      <w:lvlJc w:val="right"/>
      <w:pPr>
        <w:ind w:left="4289" w:hanging="180"/>
      </w:pPr>
    </w:lvl>
    <w:lvl w:ilvl="6" w:tplc="140A000F" w:tentative="1">
      <w:start w:val="1"/>
      <w:numFmt w:val="decimal"/>
      <w:lvlText w:val="%7."/>
      <w:lvlJc w:val="left"/>
      <w:pPr>
        <w:ind w:left="5009" w:hanging="360"/>
      </w:pPr>
    </w:lvl>
    <w:lvl w:ilvl="7" w:tplc="140A0019" w:tentative="1">
      <w:start w:val="1"/>
      <w:numFmt w:val="lowerLetter"/>
      <w:lvlText w:val="%8."/>
      <w:lvlJc w:val="left"/>
      <w:pPr>
        <w:ind w:left="5729" w:hanging="360"/>
      </w:pPr>
    </w:lvl>
    <w:lvl w:ilvl="8" w:tplc="140A001B" w:tentative="1">
      <w:start w:val="1"/>
      <w:numFmt w:val="lowerRoman"/>
      <w:lvlText w:val="%9."/>
      <w:lvlJc w:val="right"/>
      <w:pPr>
        <w:ind w:left="6449" w:hanging="180"/>
      </w:pPr>
    </w:lvl>
  </w:abstractNum>
  <w:abstractNum w:abstractNumId="34" w15:restartNumberingAfterBreak="0">
    <w:nsid w:val="79B31D12"/>
    <w:multiLevelType w:val="hybridMultilevel"/>
    <w:tmpl w:val="1EA897C8"/>
    <w:lvl w:ilvl="0" w:tplc="55C4C77A">
      <w:start w:val="1"/>
      <w:numFmt w:val="decimal"/>
      <w:lvlText w:val="%1."/>
      <w:lvlJc w:val="left"/>
      <w:pPr>
        <w:ind w:left="720" w:hanging="360"/>
      </w:pPr>
      <w:rPr>
        <w:rFonts w:hint="default"/>
        <w:b w:val="0"/>
        <w:i w:val="0"/>
        <w:color w:val="auto"/>
        <w:sz w:val="18"/>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37"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35"/>
  </w:num>
  <w:num w:numId="3">
    <w:abstractNumId w:val="30"/>
  </w:num>
  <w:num w:numId="4">
    <w:abstractNumId w:val="36"/>
  </w:num>
  <w:num w:numId="5">
    <w:abstractNumId w:val="13"/>
  </w:num>
  <w:num w:numId="6">
    <w:abstractNumId w:val="12"/>
  </w:num>
  <w:num w:numId="7">
    <w:abstractNumId w:val="32"/>
  </w:num>
  <w:num w:numId="8">
    <w:abstractNumId w:val="14"/>
  </w:num>
  <w:num w:numId="9">
    <w:abstractNumId w:val="15"/>
  </w:num>
  <w:num w:numId="10">
    <w:abstractNumId w:val="31"/>
  </w:num>
  <w:num w:numId="11">
    <w:abstractNumId w:val="19"/>
  </w:num>
  <w:num w:numId="12">
    <w:abstractNumId w:val="25"/>
  </w:num>
  <w:num w:numId="13">
    <w:abstractNumId w:val="34"/>
  </w:num>
  <w:num w:numId="14">
    <w:abstractNumId w:val="22"/>
  </w:num>
  <w:num w:numId="15">
    <w:abstractNumId w:val="10"/>
  </w:num>
  <w:num w:numId="16">
    <w:abstractNumId w:val="2"/>
  </w:num>
  <w:num w:numId="17">
    <w:abstractNumId w:val="33"/>
  </w:num>
  <w:num w:numId="18">
    <w:abstractNumId w:val="20"/>
  </w:num>
  <w:num w:numId="19">
    <w:abstractNumId w:val="29"/>
  </w:num>
  <w:num w:numId="20">
    <w:abstractNumId w:val="9"/>
  </w:num>
  <w:num w:numId="21">
    <w:abstractNumId w:val="18"/>
  </w:num>
  <w:num w:numId="22">
    <w:abstractNumId w:val="6"/>
  </w:num>
  <w:num w:numId="23">
    <w:abstractNumId w:val="21"/>
  </w:num>
  <w:num w:numId="24">
    <w:abstractNumId w:val="5"/>
  </w:num>
  <w:num w:numId="25">
    <w:abstractNumId w:val="8"/>
  </w:num>
  <w:num w:numId="26">
    <w:abstractNumId w:val="37"/>
  </w:num>
  <w:num w:numId="27">
    <w:abstractNumId w:val="24"/>
  </w:num>
  <w:num w:numId="28">
    <w:abstractNumId w:val="11"/>
  </w:num>
  <w:num w:numId="29">
    <w:abstractNumId w:val="3"/>
  </w:num>
  <w:num w:numId="30">
    <w:abstractNumId w:val="1"/>
  </w:num>
  <w:num w:numId="31">
    <w:abstractNumId w:val="23"/>
  </w:num>
  <w:num w:numId="32">
    <w:abstractNumId w:val="28"/>
  </w:num>
  <w:num w:numId="33">
    <w:abstractNumId w:val="16"/>
  </w:num>
  <w:num w:numId="34">
    <w:abstractNumId w:val="7"/>
  </w:num>
  <w:num w:numId="35">
    <w:abstractNumId w:val="26"/>
  </w:num>
  <w:num w:numId="36">
    <w:abstractNumId w:val="4"/>
  </w:num>
  <w:num w:numId="37">
    <w:abstractNumId w:val="27"/>
  </w:num>
  <w:num w:numId="3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7B6"/>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1B81"/>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A4D"/>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721"/>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0B41"/>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3F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359E"/>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59E6"/>
    <w:rsid w:val="0060685F"/>
    <w:rsid w:val="00607B7C"/>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4FD2"/>
    <w:rsid w:val="00C3580C"/>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2D44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
    <w:basedOn w:val="Fuentedeprrafopredeter"/>
    <w:link w:val="Prrafodelista"/>
    <w:uiPriority w:val="34"/>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5CF8E-7CFA-492B-B159-F37FF0FB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Pages>
  <Words>2725</Words>
  <Characters>14993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70</cp:revision>
  <cp:lastPrinted>2018-10-31T21:59:00Z</cp:lastPrinted>
  <dcterms:created xsi:type="dcterms:W3CDTF">2018-05-02T21:37:00Z</dcterms:created>
  <dcterms:modified xsi:type="dcterms:W3CDTF">2018-11-07T21:01:00Z</dcterms:modified>
</cp:coreProperties>
</file>