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475CA">
        <w:rPr>
          <w:rFonts w:ascii="Arial" w:hAnsi="Arial" w:cs="Arial"/>
          <w:b/>
          <w:bCs/>
          <w:iCs/>
          <w:sz w:val="26"/>
          <w:szCs w:val="22"/>
          <w:lang w:val="es-CR"/>
        </w:rPr>
        <w:t>1025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F17B4F">
              <w:rPr>
                <w:rFonts w:ascii="Arial" w:eastAsia="Cambria" w:hAnsi="Arial" w:cs="Arial"/>
                <w:sz w:val="22"/>
                <w:szCs w:val="22"/>
                <w:lang w:val="es-ES_tradnl" w:eastAsia="en-US"/>
              </w:rPr>
              <w:t xml:space="preserve"> Humberto Villalta Solano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sidR="00F17B4F">
              <w:rPr>
                <w:rFonts w:ascii="Arial" w:eastAsia="Cambria" w:hAnsi="Arial" w:cs="Arial"/>
                <w:sz w:val="22"/>
                <w:szCs w:val="22"/>
                <w:lang w:val="es-ES_tradnl" w:eastAsia="en-US"/>
              </w:rPr>
              <w:t>a.i.</w:t>
            </w:r>
            <w:proofErr w:type="spellEnd"/>
          </w:p>
          <w:p w:rsidR="00BE62EA" w:rsidRDefault="004475CA" w:rsidP="00BE62E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4475CA" w:rsidRDefault="004475CA" w:rsidP="00BE62E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B50885" w:rsidRDefault="00B50885" w:rsidP="00BE62E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Recursos Humanos</w:t>
            </w: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F17B4F">
              <w:rPr>
                <w:rFonts w:ascii="Arial" w:eastAsia="Cambria" w:hAnsi="Arial" w:cs="Arial"/>
                <w:sz w:val="22"/>
                <w:szCs w:val="22"/>
                <w:lang w:val="es-ES_tradnl" w:eastAsia="en-US"/>
              </w:rPr>
              <w:t xml:space="preserve"> Humberto Villalta Solano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F17B4F">
              <w:rPr>
                <w:rFonts w:ascii="Arial" w:eastAsia="Cambria" w:hAnsi="Arial" w:cs="Arial"/>
                <w:sz w:val="22"/>
                <w:szCs w:val="22"/>
                <w:lang w:val="es-ES_tradnl" w:eastAsia="en-US"/>
              </w:rPr>
              <w:t xml:space="preserve"> </w:t>
            </w:r>
            <w:proofErr w:type="spellStart"/>
            <w:r w:rsidR="00F17B4F">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D241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F17B4F">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BE62EA">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97110A">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F17B4F">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E913FF">
              <w:rPr>
                <w:rFonts w:ascii="Arial" w:eastAsia="Calibri" w:hAnsi="Arial" w:cs="Arial"/>
                <w:b/>
                <w:sz w:val="22"/>
                <w:szCs w:val="22"/>
              </w:rPr>
              <w:t>1</w:t>
            </w:r>
            <w:r w:rsidR="0097110A">
              <w:rPr>
                <w:rFonts w:ascii="Arial" w:eastAsia="Calibri" w:hAnsi="Arial" w:cs="Arial"/>
                <w:b/>
                <w:sz w:val="22"/>
                <w:szCs w:val="22"/>
              </w:rPr>
              <w:t>4</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D241E">
              <w:rPr>
                <w:rFonts w:ascii="Arial" w:eastAsia="Calibri" w:hAnsi="Arial" w:cs="Arial"/>
                <w:b/>
                <w:sz w:val="22"/>
                <w:szCs w:val="22"/>
              </w:rPr>
              <w:t>2</w:t>
            </w:r>
            <w:r w:rsidR="00F17B4F">
              <w:rPr>
                <w:rFonts w:ascii="Arial" w:eastAsia="Calibri" w:hAnsi="Arial" w:cs="Arial"/>
                <w:b/>
                <w:sz w:val="22"/>
                <w:szCs w:val="22"/>
              </w:rPr>
              <w:t>8</w:t>
            </w:r>
            <w:r w:rsidR="00BE62E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A8350D" w:rsidRPr="00A8350D">
              <w:rPr>
                <w:rFonts w:ascii="Arial" w:hAnsi="Arial" w:cs="Arial"/>
                <w:b/>
                <w:sz w:val="22"/>
                <w:szCs w:val="22"/>
              </w:rPr>
              <w:t>Modificación del período de utilización de la plaza FSBM-0012, Profesional en Tecnologías de la Información y Comunicación, categoría 23, adscrita a la Vicerrectoría de Docencia, del 01 de diciembre al 31 de diciembre del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3570A" w:rsidRDefault="00B3570A" w:rsidP="007742A1">
      <w:pPr>
        <w:jc w:val="both"/>
        <w:rPr>
          <w:rFonts w:ascii="Arial" w:eastAsia="Cambria" w:hAnsi="Arial" w:cs="Arial"/>
          <w:lang w:val="es-ES_tradnl" w:eastAsia="en-US"/>
        </w:rPr>
      </w:pPr>
    </w:p>
    <w:p w:rsidR="00B3570A" w:rsidRPr="00B3570A" w:rsidRDefault="00B3570A" w:rsidP="00B3570A">
      <w:pPr>
        <w:rPr>
          <w:rFonts w:ascii="Arial" w:hAnsi="Arial" w:cs="Arial"/>
          <w:b/>
        </w:rPr>
      </w:pPr>
      <w:r w:rsidRPr="00B3570A">
        <w:rPr>
          <w:rFonts w:ascii="Arial" w:hAnsi="Arial" w:cs="Arial"/>
          <w:b/>
        </w:rPr>
        <w:t>RESULTANDO QUE:</w:t>
      </w:r>
    </w:p>
    <w:p w:rsidR="00B3570A" w:rsidRPr="00B3570A" w:rsidRDefault="00B3570A" w:rsidP="00B3570A">
      <w:pPr>
        <w:rPr>
          <w:rFonts w:ascii="Arial" w:hAnsi="Arial" w:cs="Arial"/>
          <w:b/>
          <w:sz w:val="20"/>
          <w:szCs w:val="20"/>
        </w:rPr>
      </w:pPr>
    </w:p>
    <w:p w:rsidR="00B3570A" w:rsidRPr="00B3570A" w:rsidRDefault="00B3570A" w:rsidP="00B3570A">
      <w:pPr>
        <w:numPr>
          <w:ilvl w:val="0"/>
          <w:numId w:val="2"/>
        </w:numPr>
        <w:ind w:left="284"/>
        <w:contextualSpacing/>
        <w:jc w:val="both"/>
        <w:rPr>
          <w:rFonts w:ascii="Arial" w:eastAsia="Calibri" w:hAnsi="Arial" w:cs="Arial"/>
          <w:lang w:val="es-CR" w:eastAsia="en-US"/>
        </w:rPr>
      </w:pPr>
      <w:r w:rsidRPr="00B3570A">
        <w:rPr>
          <w:rFonts w:ascii="Arial" w:eastAsia="Calibri" w:hAnsi="Arial" w:cs="Arial"/>
          <w:lang w:val="es-CR" w:eastAsia="en-US"/>
        </w:rPr>
        <w:t>El Artículo 21 del Reglamento del Consejo Institucional</w:t>
      </w:r>
      <w:r w:rsidR="00EE1D8B">
        <w:rPr>
          <w:rFonts w:ascii="Arial" w:eastAsia="Calibri" w:hAnsi="Arial" w:cs="Arial"/>
          <w:lang w:val="es-CR" w:eastAsia="en-US"/>
        </w:rPr>
        <w:t>,</w:t>
      </w:r>
      <w:r w:rsidRPr="00B3570A">
        <w:rPr>
          <w:rFonts w:ascii="Arial" w:eastAsia="Calibri" w:hAnsi="Arial" w:cs="Arial"/>
          <w:lang w:val="es-CR" w:eastAsia="en-US"/>
        </w:rPr>
        <w:t xml:space="preserve"> indica lo siguiente:</w:t>
      </w:r>
    </w:p>
    <w:p w:rsidR="00B3570A" w:rsidRPr="00B3570A" w:rsidRDefault="00B3570A" w:rsidP="00B3570A">
      <w:pPr>
        <w:rPr>
          <w:rFonts w:ascii="Arial" w:hAnsi="Arial" w:cs="Arial"/>
          <w:b/>
          <w:sz w:val="16"/>
          <w:szCs w:val="16"/>
        </w:rPr>
      </w:pPr>
    </w:p>
    <w:p w:rsidR="00B3570A" w:rsidRPr="00EE1D8B" w:rsidRDefault="00EE1D8B" w:rsidP="004475CA">
      <w:pPr>
        <w:ind w:left="360" w:right="333"/>
        <w:jc w:val="both"/>
        <w:rPr>
          <w:rFonts w:ascii="Arial" w:eastAsia="Calibri" w:hAnsi="Arial" w:cs="Arial"/>
          <w:i/>
          <w:sz w:val="20"/>
          <w:szCs w:val="20"/>
          <w:lang w:val="es-CR" w:eastAsia="en-US"/>
        </w:rPr>
      </w:pPr>
      <w:r w:rsidRPr="00EE1D8B">
        <w:rPr>
          <w:rFonts w:ascii="Arial" w:eastAsia="Calibri" w:hAnsi="Arial" w:cs="Arial"/>
          <w:i/>
          <w:sz w:val="20"/>
          <w:szCs w:val="20"/>
          <w:lang w:val="es-CR" w:eastAsia="en-US"/>
        </w:rPr>
        <w:t>“</w:t>
      </w:r>
      <w:r w:rsidR="00B3570A" w:rsidRPr="00EE1D8B">
        <w:rPr>
          <w:rFonts w:ascii="Arial" w:eastAsia="Calibri" w:hAnsi="Arial" w:cs="Arial"/>
          <w:i/>
          <w:sz w:val="20"/>
          <w:szCs w:val="20"/>
          <w:lang w:val="es-CR" w:eastAsia="en-US"/>
        </w:rPr>
        <w:t xml:space="preserve">Son asuntos propios del análisis y dictamen de la Comisión de Planificación y Administración según su competencia los siguientes: </w:t>
      </w:r>
    </w:p>
    <w:p w:rsidR="00B3570A" w:rsidRPr="00EE1D8B" w:rsidRDefault="00B3570A" w:rsidP="004475CA">
      <w:pPr>
        <w:ind w:left="993" w:right="333"/>
        <w:jc w:val="both"/>
        <w:rPr>
          <w:rFonts w:ascii="Arial" w:eastAsia="Calibri" w:hAnsi="Arial" w:cs="Arial"/>
          <w:i/>
          <w:sz w:val="20"/>
          <w:szCs w:val="20"/>
          <w:lang w:val="es-CR" w:eastAsia="en-US"/>
        </w:rPr>
      </w:pPr>
      <w:r w:rsidRPr="00EE1D8B">
        <w:rPr>
          <w:rFonts w:ascii="Arial" w:eastAsia="Calibri" w:hAnsi="Arial" w:cs="Arial"/>
          <w:i/>
          <w:sz w:val="20"/>
          <w:szCs w:val="20"/>
          <w:lang w:val="es-CR" w:eastAsia="en-US"/>
        </w:rPr>
        <w:t>…</w:t>
      </w:r>
    </w:p>
    <w:p w:rsidR="00B3570A" w:rsidRPr="00B3570A" w:rsidRDefault="00B3570A" w:rsidP="004475CA">
      <w:pPr>
        <w:ind w:left="993" w:right="333"/>
        <w:jc w:val="both"/>
        <w:rPr>
          <w:rFonts w:ascii="Arial" w:eastAsia="Calibri" w:hAnsi="Arial" w:cs="Arial"/>
          <w:i/>
          <w:sz w:val="22"/>
          <w:szCs w:val="22"/>
          <w:lang w:val="es-CR" w:eastAsia="en-US"/>
        </w:rPr>
      </w:pPr>
      <w:r w:rsidRPr="00EE1D8B">
        <w:rPr>
          <w:rFonts w:ascii="Arial" w:eastAsia="Calibri" w:hAnsi="Arial" w:cs="Arial"/>
          <w:i/>
          <w:sz w:val="20"/>
          <w:szCs w:val="20"/>
          <w:lang w:val="es-CR" w:eastAsia="en-US"/>
        </w:rPr>
        <w:t>c. La creación, modificación y eliminación de plazas</w:t>
      </w:r>
      <w:r w:rsidR="00EE1D8B">
        <w:rPr>
          <w:rFonts w:ascii="Arial" w:eastAsia="Calibri" w:hAnsi="Arial" w:cs="Arial"/>
          <w:i/>
          <w:sz w:val="22"/>
          <w:szCs w:val="22"/>
          <w:lang w:val="es-CR" w:eastAsia="en-US"/>
        </w:rPr>
        <w:t>”</w:t>
      </w:r>
      <w:r w:rsidRPr="00B3570A">
        <w:rPr>
          <w:rFonts w:ascii="Arial" w:eastAsia="Calibri" w:hAnsi="Arial" w:cs="Arial"/>
          <w:i/>
          <w:sz w:val="22"/>
          <w:szCs w:val="22"/>
          <w:lang w:val="es-CR" w:eastAsia="en-US"/>
        </w:rPr>
        <w:t>.</w:t>
      </w:r>
    </w:p>
    <w:p w:rsidR="00B3570A" w:rsidRPr="00B3570A" w:rsidRDefault="00B3570A" w:rsidP="004475CA">
      <w:pPr>
        <w:ind w:left="709"/>
        <w:jc w:val="both"/>
        <w:rPr>
          <w:rFonts w:ascii="Arial" w:eastAsia="Calibri" w:hAnsi="Arial" w:cs="Arial"/>
          <w:lang w:val="es-CR" w:eastAsia="en-US"/>
        </w:rPr>
      </w:pPr>
    </w:p>
    <w:p w:rsidR="00B3570A" w:rsidRPr="00B3570A" w:rsidRDefault="00B3570A" w:rsidP="00B3570A">
      <w:pPr>
        <w:numPr>
          <w:ilvl w:val="0"/>
          <w:numId w:val="2"/>
        </w:numPr>
        <w:ind w:left="284"/>
        <w:contextualSpacing/>
        <w:jc w:val="both"/>
        <w:rPr>
          <w:rFonts w:ascii="Arial" w:eastAsia="Calibri" w:hAnsi="Arial" w:cs="Arial"/>
          <w:lang w:val="es-CR" w:eastAsia="en-US"/>
        </w:rPr>
      </w:pPr>
      <w:r w:rsidRPr="00B3570A">
        <w:rPr>
          <w:rFonts w:ascii="Arial" w:eastAsia="Calibri" w:hAnsi="Arial" w:cs="Arial"/>
          <w:lang w:val="es-CR" w:eastAsia="en-US"/>
        </w:rPr>
        <w:t>Las Normas de Contratación y Remuneración del Personal del Instituto Tecnológico de Costa Rica, indican en su Artículo 2, inciso a, lo siguiente:</w:t>
      </w:r>
    </w:p>
    <w:p w:rsidR="00B3570A" w:rsidRPr="00B3570A" w:rsidRDefault="00B3570A" w:rsidP="004475CA">
      <w:pPr>
        <w:jc w:val="both"/>
        <w:rPr>
          <w:rFonts w:ascii="Arial" w:eastAsia="Calibri" w:hAnsi="Arial" w:cs="Arial"/>
          <w:sz w:val="16"/>
          <w:szCs w:val="16"/>
          <w:lang w:val="es-CR" w:eastAsia="en-US"/>
        </w:rPr>
      </w:pPr>
    </w:p>
    <w:p w:rsidR="00B3570A" w:rsidRPr="00EE1D8B" w:rsidRDefault="00EE1D8B" w:rsidP="00EE1D8B">
      <w:pPr>
        <w:ind w:left="426" w:right="333"/>
        <w:jc w:val="both"/>
        <w:rPr>
          <w:rFonts w:ascii="Arial" w:eastAsia="Calibri" w:hAnsi="Arial" w:cs="Arial"/>
          <w:i/>
          <w:sz w:val="20"/>
          <w:szCs w:val="20"/>
          <w:lang w:val="es-CR" w:eastAsia="en-US"/>
        </w:rPr>
      </w:pPr>
      <w:r w:rsidRPr="00EE1D8B">
        <w:rPr>
          <w:rFonts w:ascii="Arial" w:eastAsia="Calibri" w:hAnsi="Arial" w:cs="Arial"/>
          <w:i/>
          <w:sz w:val="20"/>
          <w:szCs w:val="20"/>
          <w:lang w:val="es-CR" w:eastAsia="en-US"/>
        </w:rPr>
        <w:t>“</w:t>
      </w:r>
      <w:r w:rsidR="00B3570A" w:rsidRPr="00EE1D8B">
        <w:rPr>
          <w:rFonts w:ascii="Arial" w:eastAsia="Calibri" w:hAnsi="Arial" w:cs="Arial"/>
          <w:i/>
          <w:sz w:val="20"/>
          <w:szCs w:val="20"/>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r w:rsidRPr="00EE1D8B">
        <w:rPr>
          <w:rFonts w:ascii="Arial" w:eastAsia="Calibri" w:hAnsi="Arial" w:cs="Arial"/>
          <w:i/>
          <w:sz w:val="20"/>
          <w:szCs w:val="20"/>
          <w:lang w:val="es-CR" w:eastAsia="en-US"/>
        </w:rPr>
        <w:t>”</w:t>
      </w:r>
      <w:r w:rsidR="00B3570A" w:rsidRPr="00EE1D8B">
        <w:rPr>
          <w:rFonts w:ascii="Arial" w:eastAsia="Calibri" w:hAnsi="Arial" w:cs="Arial"/>
          <w:i/>
          <w:sz w:val="20"/>
          <w:szCs w:val="20"/>
          <w:lang w:val="es-CR" w:eastAsia="en-US"/>
        </w:rPr>
        <w:t>.</w:t>
      </w:r>
    </w:p>
    <w:p w:rsidR="00B3570A" w:rsidRPr="00B3570A" w:rsidRDefault="00B3570A" w:rsidP="004475CA">
      <w:pPr>
        <w:ind w:left="426"/>
        <w:jc w:val="both"/>
        <w:rPr>
          <w:rFonts w:ascii="Arial" w:eastAsia="Calibri" w:hAnsi="Arial" w:cs="Arial"/>
          <w:sz w:val="16"/>
          <w:szCs w:val="16"/>
          <w:lang w:val="es-CR" w:eastAsia="en-US"/>
        </w:rPr>
      </w:pPr>
    </w:p>
    <w:p w:rsidR="00B3570A" w:rsidRPr="00B3570A" w:rsidRDefault="00B3570A" w:rsidP="00B3570A">
      <w:pPr>
        <w:numPr>
          <w:ilvl w:val="0"/>
          <w:numId w:val="2"/>
        </w:numPr>
        <w:ind w:left="284"/>
        <w:contextualSpacing/>
        <w:jc w:val="both"/>
        <w:rPr>
          <w:rFonts w:ascii="Arial" w:eastAsia="Calibri" w:hAnsi="Arial" w:cs="Arial"/>
          <w:lang w:val="es-CR" w:eastAsia="en-US"/>
        </w:rPr>
      </w:pPr>
      <w:r w:rsidRPr="00B3570A">
        <w:rPr>
          <w:rFonts w:ascii="Arial" w:eastAsia="Calibri" w:hAnsi="Arial" w:cs="Arial"/>
          <w:lang w:val="es-CR" w:eastAsia="en-US"/>
        </w:rPr>
        <w:t>El Consejo Institucional, en Sesión Ordinaria No. 3078, Artículo 15, del 27 de junio de 2018, sobre Modificación ampliación de la plaza FSBM-0012, aprobada en el acuerdo Sesión No. 3038, Artículo 16, del 13 de setiembre de 2017.  Renovación, reconversión y creación de plazas financiadas con Fondos del Sistema para el 2018, en el inciso a) aprobó:</w:t>
      </w:r>
    </w:p>
    <w:p w:rsidR="00B3570A" w:rsidRPr="00B3570A" w:rsidRDefault="00B3570A" w:rsidP="004475CA">
      <w:pPr>
        <w:ind w:left="426"/>
        <w:jc w:val="both"/>
        <w:rPr>
          <w:rFonts w:ascii="Arial" w:eastAsia="Calibri" w:hAnsi="Arial" w:cs="Arial"/>
          <w:sz w:val="16"/>
          <w:szCs w:val="16"/>
          <w:lang w:val="es-CR" w:eastAsia="en-US"/>
        </w:rPr>
      </w:pPr>
    </w:p>
    <w:p w:rsidR="00B3570A" w:rsidRPr="00B3570A" w:rsidRDefault="00B3570A" w:rsidP="004475CA">
      <w:pPr>
        <w:ind w:left="426" w:right="191" w:hanging="142"/>
        <w:contextualSpacing/>
        <w:jc w:val="both"/>
        <w:rPr>
          <w:i/>
          <w:sz w:val="22"/>
          <w:szCs w:val="22"/>
        </w:rPr>
      </w:pPr>
      <w:r w:rsidRPr="00B3570A">
        <w:rPr>
          <w:i/>
        </w:rPr>
        <w:t xml:space="preserve"> </w:t>
      </w:r>
      <w:r w:rsidRPr="00B3570A">
        <w:rPr>
          <w:rFonts w:ascii="Arial" w:hAnsi="Arial" w:cs="Arial"/>
          <w:i/>
          <w:sz w:val="22"/>
          <w:szCs w:val="22"/>
        </w:rPr>
        <w:t>“Modificar el periodo de utilización de la plaza FSBM-0012 para ampliar el plazo de nombramiento en la misma, durante el II semestre 2018, del 01 de julio al 30 de noviembre del 2018, considerando que existen economías de salarios, generadas principalmente por el no uso de la plaza FSBM-014, que pueden utilizarse para financiar la ampliación propuesta</w:t>
      </w:r>
      <w:r w:rsidRPr="00B3570A">
        <w:rPr>
          <w:i/>
          <w:sz w:val="22"/>
          <w:szCs w:val="22"/>
        </w:rPr>
        <w:t>.</w:t>
      </w:r>
      <w:bookmarkStart w:id="0" w:name="_GoBack"/>
      <w:bookmarkEnd w:id="0"/>
    </w:p>
    <w:p w:rsidR="00B3570A" w:rsidRPr="00B3570A" w:rsidRDefault="00B3570A" w:rsidP="004475CA">
      <w:pPr>
        <w:ind w:left="426"/>
        <w:jc w:val="both"/>
        <w:rPr>
          <w:rFonts w:ascii="Arial" w:eastAsia="Calibri" w:hAnsi="Arial" w:cs="Arial"/>
          <w:sz w:val="16"/>
          <w:szCs w:val="16"/>
          <w:lang w:val="es-CR" w:eastAsia="en-US"/>
        </w:rPr>
      </w:pPr>
    </w:p>
    <w:tbl>
      <w:tblPr>
        <w:tblW w:w="5471" w:type="pct"/>
        <w:tblInd w:w="212" w:type="dxa"/>
        <w:tblLayout w:type="fixed"/>
        <w:tblCellMar>
          <w:left w:w="70" w:type="dxa"/>
          <w:right w:w="70" w:type="dxa"/>
        </w:tblCellMar>
        <w:tblLook w:val="04A0" w:firstRow="1" w:lastRow="0" w:firstColumn="1" w:lastColumn="0" w:noHBand="0" w:noVBand="1"/>
      </w:tblPr>
      <w:tblGrid>
        <w:gridCol w:w="573"/>
        <w:gridCol w:w="1001"/>
        <w:gridCol w:w="1360"/>
        <w:gridCol w:w="431"/>
        <w:gridCol w:w="715"/>
        <w:gridCol w:w="576"/>
        <w:gridCol w:w="717"/>
        <w:gridCol w:w="1358"/>
        <w:gridCol w:w="1078"/>
        <w:gridCol w:w="1504"/>
        <w:gridCol w:w="611"/>
      </w:tblGrid>
      <w:tr w:rsidR="00B3570A" w:rsidRPr="00B3570A" w:rsidTr="003A0AFF">
        <w:trPr>
          <w:gridAfter w:val="1"/>
          <w:wAfter w:w="309" w:type="pct"/>
          <w:trHeight w:val="875"/>
        </w:trPr>
        <w:tc>
          <w:tcPr>
            <w:tcW w:w="289"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B3570A" w:rsidRPr="00B3570A" w:rsidRDefault="00B3570A" w:rsidP="00B3570A">
            <w:pPr>
              <w:jc w:val="center"/>
              <w:rPr>
                <w:rFonts w:ascii="Arial" w:hAnsi="Arial" w:cs="Arial"/>
                <w:b/>
                <w:bCs/>
                <w:i/>
                <w:color w:val="FFFFFF"/>
                <w:sz w:val="16"/>
                <w:szCs w:val="16"/>
                <w:lang w:eastAsia="es-CR"/>
              </w:rPr>
            </w:pPr>
            <w:r w:rsidRPr="00B3570A">
              <w:rPr>
                <w:rFonts w:ascii="Arial" w:hAnsi="Arial" w:cs="Arial"/>
                <w:b/>
                <w:bCs/>
                <w:i/>
                <w:color w:val="FFFFFF"/>
                <w:sz w:val="16"/>
                <w:szCs w:val="16"/>
                <w:lang w:eastAsia="es-CR"/>
              </w:rPr>
              <w:t>Programa</w:t>
            </w:r>
          </w:p>
        </w:tc>
        <w:tc>
          <w:tcPr>
            <w:tcW w:w="505" w:type="pct"/>
            <w:tcBorders>
              <w:top w:val="single" w:sz="4" w:space="0" w:color="auto"/>
              <w:left w:val="nil"/>
              <w:bottom w:val="single" w:sz="4" w:space="0" w:color="auto"/>
              <w:right w:val="single" w:sz="4" w:space="0" w:color="auto"/>
            </w:tcBorders>
            <w:shd w:val="clear" w:color="000000" w:fill="2F75B5"/>
            <w:vAlign w:val="center"/>
            <w:hideMark/>
          </w:tcPr>
          <w:p w:rsidR="00B3570A" w:rsidRPr="00B3570A" w:rsidRDefault="00B3570A" w:rsidP="00B3570A">
            <w:pPr>
              <w:jc w:val="center"/>
              <w:rPr>
                <w:rFonts w:ascii="Arial" w:hAnsi="Arial" w:cs="Arial"/>
                <w:b/>
                <w:bCs/>
                <w:i/>
                <w:color w:val="FFFFFF"/>
                <w:sz w:val="16"/>
                <w:szCs w:val="16"/>
                <w:lang w:eastAsia="es-CR"/>
              </w:rPr>
            </w:pPr>
            <w:r w:rsidRPr="00B3570A">
              <w:rPr>
                <w:rFonts w:ascii="Arial" w:hAnsi="Arial" w:cs="Arial"/>
                <w:b/>
                <w:bCs/>
                <w:i/>
                <w:color w:val="FFFFFF"/>
                <w:sz w:val="16"/>
                <w:szCs w:val="16"/>
                <w:lang w:eastAsia="es-CR"/>
              </w:rPr>
              <w:t># Plaza</w:t>
            </w:r>
          </w:p>
        </w:tc>
        <w:tc>
          <w:tcPr>
            <w:tcW w:w="685" w:type="pct"/>
            <w:tcBorders>
              <w:top w:val="single" w:sz="4" w:space="0" w:color="auto"/>
              <w:left w:val="nil"/>
              <w:bottom w:val="single" w:sz="4" w:space="0" w:color="auto"/>
              <w:right w:val="single" w:sz="4" w:space="0" w:color="auto"/>
            </w:tcBorders>
            <w:shd w:val="clear" w:color="000000" w:fill="2F75B5"/>
            <w:textDirection w:val="btLr"/>
          </w:tcPr>
          <w:p w:rsidR="00B3570A" w:rsidRPr="00B3570A" w:rsidRDefault="00B3570A" w:rsidP="00B3570A">
            <w:pPr>
              <w:jc w:val="center"/>
              <w:rPr>
                <w:rFonts w:ascii="Arial" w:hAnsi="Arial" w:cs="Arial"/>
                <w:b/>
                <w:bCs/>
                <w:i/>
                <w:color w:val="FFFFFF"/>
                <w:sz w:val="16"/>
                <w:szCs w:val="16"/>
                <w:lang w:eastAsia="es-CR"/>
              </w:rPr>
            </w:pPr>
            <w:r w:rsidRPr="00B3570A">
              <w:rPr>
                <w:rFonts w:ascii="Arial" w:hAnsi="Arial" w:cs="Arial"/>
                <w:b/>
                <w:bCs/>
                <w:i/>
                <w:color w:val="FFFFFF"/>
                <w:sz w:val="16"/>
                <w:szCs w:val="16"/>
                <w:lang w:eastAsia="es-CR"/>
              </w:rPr>
              <w:t>Puesto</w:t>
            </w:r>
          </w:p>
        </w:tc>
        <w:tc>
          <w:tcPr>
            <w:tcW w:w="217" w:type="pct"/>
            <w:tcBorders>
              <w:top w:val="single" w:sz="4" w:space="0" w:color="auto"/>
              <w:left w:val="single" w:sz="4" w:space="0" w:color="auto"/>
              <w:bottom w:val="single" w:sz="4" w:space="0" w:color="auto"/>
              <w:right w:val="single" w:sz="4" w:space="0" w:color="auto"/>
            </w:tcBorders>
            <w:shd w:val="clear" w:color="000000" w:fill="2F75B5"/>
            <w:textDirection w:val="btLr"/>
            <w:vAlign w:val="center"/>
            <w:hideMark/>
          </w:tcPr>
          <w:p w:rsidR="00B3570A" w:rsidRPr="00B3570A" w:rsidRDefault="00B3570A" w:rsidP="00B3570A">
            <w:pPr>
              <w:jc w:val="center"/>
              <w:rPr>
                <w:rFonts w:ascii="Arial" w:hAnsi="Arial" w:cs="Arial"/>
                <w:b/>
                <w:bCs/>
                <w:i/>
                <w:color w:val="FFFFFF"/>
                <w:sz w:val="16"/>
                <w:szCs w:val="16"/>
                <w:lang w:eastAsia="es-CR"/>
              </w:rPr>
            </w:pPr>
            <w:r w:rsidRPr="00B3570A">
              <w:rPr>
                <w:rFonts w:ascii="Arial" w:hAnsi="Arial" w:cs="Arial"/>
                <w:b/>
                <w:bCs/>
                <w:i/>
                <w:color w:val="FFFFFF"/>
                <w:sz w:val="16"/>
                <w:szCs w:val="16"/>
                <w:lang w:eastAsia="es-CR"/>
              </w:rPr>
              <w:t>Categoría</w:t>
            </w:r>
          </w:p>
        </w:tc>
        <w:tc>
          <w:tcPr>
            <w:tcW w:w="360"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B3570A" w:rsidRPr="00B3570A" w:rsidRDefault="00B3570A" w:rsidP="00B3570A">
            <w:pPr>
              <w:jc w:val="center"/>
              <w:rPr>
                <w:rFonts w:ascii="Arial" w:hAnsi="Arial" w:cs="Arial"/>
                <w:b/>
                <w:bCs/>
                <w:i/>
                <w:color w:val="FFFFFF"/>
                <w:sz w:val="16"/>
                <w:szCs w:val="16"/>
                <w:lang w:eastAsia="es-CR"/>
              </w:rPr>
            </w:pPr>
            <w:r w:rsidRPr="00B3570A">
              <w:rPr>
                <w:rFonts w:ascii="Arial" w:hAnsi="Arial" w:cs="Arial"/>
                <w:b/>
                <w:bCs/>
                <w:i/>
                <w:color w:val="FFFFFF"/>
                <w:sz w:val="16"/>
                <w:szCs w:val="16"/>
                <w:lang w:eastAsia="es-CR"/>
              </w:rPr>
              <w:t>Jornada</w:t>
            </w:r>
          </w:p>
        </w:tc>
        <w:tc>
          <w:tcPr>
            <w:tcW w:w="290"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B3570A" w:rsidRPr="00B3570A" w:rsidRDefault="00B3570A" w:rsidP="00B3570A">
            <w:pPr>
              <w:jc w:val="center"/>
              <w:rPr>
                <w:rFonts w:ascii="Arial" w:hAnsi="Arial" w:cs="Arial"/>
                <w:b/>
                <w:bCs/>
                <w:i/>
                <w:color w:val="FFFFFF"/>
                <w:sz w:val="16"/>
                <w:szCs w:val="16"/>
                <w:lang w:eastAsia="es-CR"/>
              </w:rPr>
            </w:pPr>
            <w:r w:rsidRPr="00B3570A">
              <w:rPr>
                <w:rFonts w:ascii="Arial" w:hAnsi="Arial" w:cs="Arial"/>
                <w:b/>
                <w:bCs/>
                <w:i/>
                <w:color w:val="FFFFFF"/>
                <w:sz w:val="16"/>
                <w:szCs w:val="16"/>
                <w:lang w:eastAsia="es-CR"/>
              </w:rPr>
              <w:t>Periodo (meses)</w:t>
            </w:r>
          </w:p>
        </w:tc>
        <w:tc>
          <w:tcPr>
            <w:tcW w:w="361" w:type="pct"/>
            <w:tcBorders>
              <w:top w:val="single" w:sz="4" w:space="0" w:color="auto"/>
              <w:left w:val="nil"/>
              <w:bottom w:val="single" w:sz="4" w:space="0" w:color="auto"/>
              <w:right w:val="single" w:sz="4" w:space="0" w:color="auto"/>
            </w:tcBorders>
            <w:shd w:val="clear" w:color="000000" w:fill="2F75B5"/>
            <w:vAlign w:val="center"/>
            <w:hideMark/>
          </w:tcPr>
          <w:p w:rsidR="00B3570A" w:rsidRPr="00B3570A" w:rsidRDefault="00B3570A" w:rsidP="00B3570A">
            <w:pPr>
              <w:jc w:val="center"/>
              <w:rPr>
                <w:rFonts w:ascii="Arial" w:hAnsi="Arial" w:cs="Arial"/>
                <w:b/>
                <w:bCs/>
                <w:i/>
                <w:color w:val="FFFFFF"/>
                <w:sz w:val="16"/>
                <w:szCs w:val="16"/>
                <w:lang w:eastAsia="es-CR"/>
              </w:rPr>
            </w:pPr>
            <w:r w:rsidRPr="00B3570A">
              <w:rPr>
                <w:rFonts w:ascii="Arial" w:hAnsi="Arial" w:cs="Arial"/>
                <w:b/>
                <w:bCs/>
                <w:i/>
                <w:color w:val="FFFFFF"/>
                <w:sz w:val="16"/>
                <w:szCs w:val="16"/>
                <w:lang w:eastAsia="es-CR"/>
              </w:rPr>
              <w:t>TCE</w:t>
            </w:r>
          </w:p>
        </w:tc>
        <w:tc>
          <w:tcPr>
            <w:tcW w:w="684" w:type="pct"/>
            <w:tcBorders>
              <w:top w:val="single" w:sz="4" w:space="0" w:color="auto"/>
              <w:left w:val="nil"/>
              <w:bottom w:val="single" w:sz="4" w:space="0" w:color="auto"/>
              <w:right w:val="single" w:sz="4" w:space="0" w:color="auto"/>
            </w:tcBorders>
            <w:shd w:val="clear" w:color="000000" w:fill="2F75B5"/>
            <w:vAlign w:val="center"/>
            <w:hideMark/>
          </w:tcPr>
          <w:p w:rsidR="00B3570A" w:rsidRPr="00B3570A" w:rsidRDefault="00B3570A" w:rsidP="00B3570A">
            <w:pPr>
              <w:jc w:val="center"/>
              <w:rPr>
                <w:rFonts w:ascii="Arial" w:hAnsi="Arial" w:cs="Arial"/>
                <w:b/>
                <w:bCs/>
                <w:i/>
                <w:color w:val="FFFFFF"/>
                <w:sz w:val="16"/>
                <w:szCs w:val="16"/>
                <w:lang w:eastAsia="es-CR"/>
              </w:rPr>
            </w:pPr>
            <w:r w:rsidRPr="00B3570A">
              <w:rPr>
                <w:rFonts w:ascii="Arial" w:hAnsi="Arial" w:cs="Arial"/>
                <w:b/>
                <w:bCs/>
                <w:i/>
                <w:color w:val="FFFFFF"/>
                <w:sz w:val="16"/>
                <w:szCs w:val="16"/>
                <w:lang w:eastAsia="es-CR"/>
              </w:rPr>
              <w:t>Nombramiento</w:t>
            </w:r>
          </w:p>
        </w:tc>
        <w:tc>
          <w:tcPr>
            <w:tcW w:w="543" w:type="pct"/>
            <w:tcBorders>
              <w:top w:val="single" w:sz="4" w:space="0" w:color="auto"/>
              <w:left w:val="nil"/>
              <w:bottom w:val="single" w:sz="4" w:space="0" w:color="auto"/>
              <w:right w:val="single" w:sz="4" w:space="0" w:color="auto"/>
            </w:tcBorders>
            <w:shd w:val="clear" w:color="000000" w:fill="2F75B5"/>
            <w:vAlign w:val="center"/>
            <w:hideMark/>
          </w:tcPr>
          <w:p w:rsidR="00B3570A" w:rsidRPr="00B3570A" w:rsidRDefault="00B3570A" w:rsidP="00B3570A">
            <w:pPr>
              <w:jc w:val="center"/>
              <w:rPr>
                <w:rFonts w:ascii="Arial" w:hAnsi="Arial" w:cs="Arial"/>
                <w:b/>
                <w:bCs/>
                <w:i/>
                <w:color w:val="FFFFFF"/>
                <w:sz w:val="16"/>
                <w:szCs w:val="16"/>
                <w:lang w:eastAsia="es-CR"/>
              </w:rPr>
            </w:pPr>
            <w:r w:rsidRPr="00B3570A">
              <w:rPr>
                <w:rFonts w:ascii="Arial" w:hAnsi="Arial" w:cs="Arial"/>
                <w:b/>
                <w:bCs/>
                <w:i/>
                <w:color w:val="FFFFFF"/>
                <w:sz w:val="16"/>
                <w:szCs w:val="16"/>
                <w:lang w:eastAsia="es-CR"/>
              </w:rPr>
              <w:t>Adscrita a:</w:t>
            </w:r>
          </w:p>
        </w:tc>
        <w:tc>
          <w:tcPr>
            <w:tcW w:w="758" w:type="pct"/>
            <w:tcBorders>
              <w:top w:val="single" w:sz="4" w:space="0" w:color="auto"/>
              <w:left w:val="nil"/>
              <w:bottom w:val="single" w:sz="4" w:space="0" w:color="auto"/>
            </w:tcBorders>
            <w:shd w:val="clear" w:color="000000" w:fill="2F75B5"/>
            <w:vAlign w:val="center"/>
            <w:hideMark/>
          </w:tcPr>
          <w:p w:rsidR="00B3570A" w:rsidRPr="00B3570A" w:rsidRDefault="00B3570A" w:rsidP="00B3570A">
            <w:pPr>
              <w:jc w:val="center"/>
              <w:rPr>
                <w:rFonts w:ascii="Arial" w:hAnsi="Arial" w:cs="Arial"/>
                <w:b/>
                <w:bCs/>
                <w:i/>
                <w:color w:val="FFFFFF"/>
                <w:sz w:val="16"/>
                <w:szCs w:val="16"/>
                <w:lang w:eastAsia="es-CR"/>
              </w:rPr>
            </w:pPr>
            <w:r w:rsidRPr="00B3570A">
              <w:rPr>
                <w:rFonts w:ascii="Arial" w:hAnsi="Arial" w:cs="Arial"/>
                <w:b/>
                <w:bCs/>
                <w:i/>
                <w:color w:val="FFFFFF"/>
                <w:sz w:val="16"/>
                <w:szCs w:val="16"/>
                <w:lang w:eastAsia="es-CR"/>
              </w:rPr>
              <w:t>Observaciones</w:t>
            </w:r>
          </w:p>
        </w:tc>
      </w:tr>
      <w:tr w:rsidR="00B3570A" w:rsidRPr="00B3570A" w:rsidTr="003A0AFF">
        <w:trPr>
          <w:trHeight w:val="591"/>
        </w:trPr>
        <w:tc>
          <w:tcPr>
            <w:tcW w:w="289" w:type="pct"/>
            <w:tcBorders>
              <w:top w:val="nil"/>
              <w:left w:val="nil"/>
              <w:bottom w:val="single" w:sz="4" w:space="0" w:color="auto"/>
              <w:right w:val="single" w:sz="4" w:space="0" w:color="auto"/>
            </w:tcBorders>
            <w:shd w:val="clear" w:color="auto" w:fill="auto"/>
            <w:noWrap/>
            <w:vAlign w:val="center"/>
            <w:hideMark/>
          </w:tcPr>
          <w:p w:rsidR="00B3570A" w:rsidRPr="00B3570A" w:rsidRDefault="00B3570A" w:rsidP="00B3570A">
            <w:pPr>
              <w:jc w:val="center"/>
              <w:rPr>
                <w:rFonts w:ascii="Arial" w:hAnsi="Arial" w:cs="Arial"/>
                <w:i/>
                <w:color w:val="000000"/>
                <w:sz w:val="16"/>
                <w:szCs w:val="16"/>
                <w:lang w:eastAsia="es-CR"/>
              </w:rPr>
            </w:pPr>
            <w:r w:rsidRPr="00B3570A">
              <w:rPr>
                <w:rFonts w:ascii="Arial" w:hAnsi="Arial" w:cs="Arial"/>
                <w:i/>
                <w:sz w:val="16"/>
                <w:szCs w:val="16"/>
                <w:lang w:eastAsia="es-CR"/>
              </w:rPr>
              <w:t>2</w:t>
            </w:r>
          </w:p>
        </w:tc>
        <w:tc>
          <w:tcPr>
            <w:tcW w:w="505" w:type="pct"/>
            <w:tcBorders>
              <w:top w:val="nil"/>
              <w:left w:val="nil"/>
              <w:bottom w:val="single" w:sz="4" w:space="0" w:color="auto"/>
              <w:right w:val="single" w:sz="4" w:space="0" w:color="auto"/>
            </w:tcBorders>
            <w:shd w:val="clear" w:color="auto" w:fill="auto"/>
            <w:noWrap/>
            <w:vAlign w:val="center"/>
            <w:hideMark/>
          </w:tcPr>
          <w:p w:rsidR="00B3570A" w:rsidRPr="00B3570A" w:rsidRDefault="00B3570A" w:rsidP="00B3570A">
            <w:pPr>
              <w:rPr>
                <w:rFonts w:ascii="Arial" w:hAnsi="Arial" w:cs="Arial"/>
                <w:i/>
                <w:color w:val="000000"/>
                <w:sz w:val="16"/>
                <w:szCs w:val="16"/>
                <w:lang w:eastAsia="es-CR"/>
              </w:rPr>
            </w:pPr>
            <w:r w:rsidRPr="00B3570A">
              <w:rPr>
                <w:rFonts w:ascii="Arial" w:hAnsi="Arial" w:cs="Arial"/>
                <w:i/>
                <w:sz w:val="16"/>
                <w:szCs w:val="16"/>
                <w:lang w:eastAsia="es-CR"/>
              </w:rPr>
              <w:t>FSBM0012</w:t>
            </w:r>
          </w:p>
        </w:tc>
        <w:tc>
          <w:tcPr>
            <w:tcW w:w="685" w:type="pct"/>
            <w:tcBorders>
              <w:top w:val="single" w:sz="4" w:space="0" w:color="auto"/>
              <w:left w:val="nil"/>
              <w:bottom w:val="single" w:sz="4" w:space="0" w:color="auto"/>
              <w:right w:val="single" w:sz="4" w:space="0" w:color="auto"/>
            </w:tcBorders>
          </w:tcPr>
          <w:p w:rsidR="00B3570A" w:rsidRPr="00B3570A" w:rsidRDefault="00B3570A" w:rsidP="00B3570A">
            <w:pPr>
              <w:rPr>
                <w:rFonts w:ascii="Arial" w:hAnsi="Arial" w:cs="Arial"/>
                <w:i/>
                <w:sz w:val="16"/>
                <w:szCs w:val="16"/>
                <w:lang w:eastAsia="es-CR"/>
              </w:rPr>
            </w:pPr>
            <w:r w:rsidRPr="00B3570A">
              <w:rPr>
                <w:rFonts w:ascii="Arial" w:hAnsi="Arial" w:cs="Arial"/>
                <w:i/>
                <w:sz w:val="16"/>
                <w:szCs w:val="16"/>
                <w:lang w:eastAsia="es-CR"/>
              </w:rPr>
              <w:t>Profesional en Tecnologías de la Información y Comunicación</w:t>
            </w:r>
          </w:p>
        </w:tc>
        <w:tc>
          <w:tcPr>
            <w:tcW w:w="217" w:type="pct"/>
            <w:tcBorders>
              <w:top w:val="nil"/>
              <w:left w:val="nil"/>
              <w:bottom w:val="single" w:sz="4" w:space="0" w:color="auto"/>
              <w:right w:val="single" w:sz="4" w:space="0" w:color="auto"/>
            </w:tcBorders>
            <w:shd w:val="clear" w:color="auto" w:fill="auto"/>
            <w:noWrap/>
            <w:vAlign w:val="center"/>
            <w:hideMark/>
          </w:tcPr>
          <w:p w:rsidR="00B3570A" w:rsidRPr="00B3570A" w:rsidRDefault="00B3570A" w:rsidP="00B3570A">
            <w:pPr>
              <w:jc w:val="center"/>
              <w:rPr>
                <w:rFonts w:ascii="Arial" w:hAnsi="Arial" w:cs="Arial"/>
                <w:i/>
                <w:color w:val="000000"/>
                <w:sz w:val="16"/>
                <w:szCs w:val="16"/>
                <w:lang w:eastAsia="es-CR"/>
              </w:rPr>
            </w:pPr>
            <w:r w:rsidRPr="00B3570A">
              <w:rPr>
                <w:rFonts w:ascii="Arial" w:hAnsi="Arial" w:cs="Arial"/>
                <w:i/>
                <w:sz w:val="16"/>
                <w:szCs w:val="16"/>
                <w:lang w:eastAsia="es-CR"/>
              </w:rPr>
              <w:t>23</w:t>
            </w:r>
          </w:p>
        </w:tc>
        <w:tc>
          <w:tcPr>
            <w:tcW w:w="360" w:type="pct"/>
            <w:tcBorders>
              <w:top w:val="nil"/>
              <w:left w:val="nil"/>
              <w:bottom w:val="single" w:sz="4" w:space="0" w:color="auto"/>
              <w:right w:val="single" w:sz="4" w:space="0" w:color="auto"/>
            </w:tcBorders>
            <w:shd w:val="clear" w:color="auto" w:fill="auto"/>
            <w:noWrap/>
            <w:vAlign w:val="center"/>
            <w:hideMark/>
          </w:tcPr>
          <w:p w:rsidR="00B3570A" w:rsidRPr="00B3570A" w:rsidRDefault="00B3570A" w:rsidP="00B3570A">
            <w:pPr>
              <w:jc w:val="center"/>
              <w:rPr>
                <w:rFonts w:ascii="Arial" w:hAnsi="Arial" w:cs="Arial"/>
                <w:i/>
                <w:color w:val="000000"/>
                <w:sz w:val="16"/>
                <w:szCs w:val="16"/>
                <w:lang w:eastAsia="es-CR"/>
              </w:rPr>
            </w:pPr>
            <w:r w:rsidRPr="00B3570A">
              <w:rPr>
                <w:rFonts w:ascii="Arial" w:hAnsi="Arial" w:cs="Arial"/>
                <w:i/>
                <w:sz w:val="16"/>
                <w:szCs w:val="16"/>
                <w:lang w:eastAsia="es-CR"/>
              </w:rPr>
              <w:t>100%</w:t>
            </w:r>
          </w:p>
        </w:tc>
        <w:tc>
          <w:tcPr>
            <w:tcW w:w="290" w:type="pct"/>
            <w:tcBorders>
              <w:top w:val="nil"/>
              <w:left w:val="nil"/>
              <w:bottom w:val="single" w:sz="4" w:space="0" w:color="auto"/>
              <w:right w:val="single" w:sz="4" w:space="0" w:color="auto"/>
            </w:tcBorders>
            <w:shd w:val="clear" w:color="auto" w:fill="auto"/>
            <w:noWrap/>
            <w:vAlign w:val="center"/>
          </w:tcPr>
          <w:p w:rsidR="00B3570A" w:rsidRPr="00B3570A" w:rsidRDefault="00B3570A" w:rsidP="00B3570A">
            <w:pPr>
              <w:jc w:val="center"/>
              <w:rPr>
                <w:rFonts w:ascii="Arial" w:hAnsi="Arial" w:cs="Arial"/>
                <w:i/>
                <w:color w:val="000000"/>
                <w:sz w:val="16"/>
                <w:szCs w:val="16"/>
                <w:lang w:eastAsia="es-CR"/>
              </w:rPr>
            </w:pPr>
            <w:r w:rsidRPr="00B3570A">
              <w:rPr>
                <w:rFonts w:ascii="Arial" w:hAnsi="Arial" w:cs="Arial"/>
                <w:i/>
                <w:sz w:val="16"/>
                <w:szCs w:val="16"/>
                <w:lang w:eastAsia="es-CR"/>
              </w:rPr>
              <w:t>12</w:t>
            </w:r>
          </w:p>
        </w:tc>
        <w:tc>
          <w:tcPr>
            <w:tcW w:w="361" w:type="pct"/>
            <w:tcBorders>
              <w:top w:val="nil"/>
              <w:left w:val="nil"/>
              <w:bottom w:val="single" w:sz="4" w:space="0" w:color="auto"/>
              <w:right w:val="single" w:sz="4" w:space="0" w:color="auto"/>
            </w:tcBorders>
            <w:shd w:val="clear" w:color="auto" w:fill="auto"/>
            <w:noWrap/>
            <w:vAlign w:val="center"/>
          </w:tcPr>
          <w:p w:rsidR="00B3570A" w:rsidRPr="00B3570A" w:rsidRDefault="00B3570A" w:rsidP="00B3570A">
            <w:pPr>
              <w:jc w:val="center"/>
              <w:rPr>
                <w:rFonts w:ascii="Arial" w:hAnsi="Arial" w:cs="Arial"/>
                <w:i/>
                <w:color w:val="000000"/>
                <w:sz w:val="16"/>
                <w:szCs w:val="16"/>
                <w:lang w:eastAsia="es-CR"/>
              </w:rPr>
            </w:pPr>
            <w:r w:rsidRPr="00B3570A">
              <w:rPr>
                <w:rFonts w:ascii="Arial" w:hAnsi="Arial" w:cs="Arial"/>
                <w:i/>
                <w:sz w:val="16"/>
                <w:szCs w:val="16"/>
                <w:lang w:eastAsia="es-CR"/>
              </w:rPr>
              <w:t>1,00</w:t>
            </w:r>
          </w:p>
        </w:tc>
        <w:tc>
          <w:tcPr>
            <w:tcW w:w="684" w:type="pct"/>
            <w:tcBorders>
              <w:top w:val="nil"/>
              <w:left w:val="nil"/>
              <w:bottom w:val="single" w:sz="4" w:space="0" w:color="auto"/>
              <w:right w:val="single" w:sz="4" w:space="0" w:color="auto"/>
            </w:tcBorders>
            <w:shd w:val="clear" w:color="auto" w:fill="auto"/>
            <w:noWrap/>
            <w:vAlign w:val="center"/>
          </w:tcPr>
          <w:p w:rsidR="00B3570A" w:rsidRPr="00B3570A" w:rsidRDefault="00B3570A" w:rsidP="00B3570A">
            <w:pPr>
              <w:jc w:val="center"/>
              <w:rPr>
                <w:rFonts w:ascii="Arial" w:hAnsi="Arial" w:cs="Arial"/>
                <w:i/>
                <w:color w:val="000000"/>
                <w:sz w:val="16"/>
                <w:szCs w:val="16"/>
                <w:lang w:eastAsia="es-CR"/>
              </w:rPr>
            </w:pPr>
            <w:r w:rsidRPr="00B3570A">
              <w:rPr>
                <w:rFonts w:ascii="Arial" w:hAnsi="Arial" w:cs="Arial"/>
                <w:i/>
                <w:sz w:val="16"/>
                <w:szCs w:val="16"/>
                <w:lang w:eastAsia="es-CR"/>
              </w:rPr>
              <w:t>Temporal</w:t>
            </w:r>
          </w:p>
        </w:tc>
        <w:tc>
          <w:tcPr>
            <w:tcW w:w="543" w:type="pct"/>
            <w:tcBorders>
              <w:top w:val="nil"/>
              <w:left w:val="nil"/>
              <w:bottom w:val="single" w:sz="4" w:space="0" w:color="auto"/>
              <w:right w:val="single" w:sz="4" w:space="0" w:color="auto"/>
            </w:tcBorders>
            <w:shd w:val="clear" w:color="auto" w:fill="auto"/>
            <w:noWrap/>
            <w:vAlign w:val="center"/>
          </w:tcPr>
          <w:p w:rsidR="00B3570A" w:rsidRPr="00B3570A" w:rsidRDefault="00B3570A" w:rsidP="00B3570A">
            <w:pPr>
              <w:rPr>
                <w:rFonts w:ascii="Arial" w:hAnsi="Arial" w:cs="Arial"/>
                <w:i/>
                <w:color w:val="000000"/>
                <w:sz w:val="16"/>
                <w:szCs w:val="16"/>
                <w:lang w:eastAsia="es-CR"/>
              </w:rPr>
            </w:pPr>
            <w:r w:rsidRPr="00B3570A">
              <w:rPr>
                <w:rFonts w:ascii="Arial" w:hAnsi="Arial" w:cs="Arial"/>
                <w:i/>
                <w:color w:val="000000"/>
                <w:sz w:val="16"/>
                <w:szCs w:val="16"/>
                <w:lang w:eastAsia="es-CR"/>
              </w:rPr>
              <w:t>Vicerrectoría de Docencia</w:t>
            </w:r>
          </w:p>
        </w:tc>
        <w:tc>
          <w:tcPr>
            <w:tcW w:w="758" w:type="pct"/>
            <w:tcBorders>
              <w:top w:val="single" w:sz="4" w:space="0" w:color="auto"/>
              <w:left w:val="nil"/>
              <w:bottom w:val="single" w:sz="4" w:space="0" w:color="auto"/>
            </w:tcBorders>
            <w:shd w:val="clear" w:color="auto" w:fill="auto"/>
            <w:noWrap/>
            <w:vAlign w:val="center"/>
          </w:tcPr>
          <w:p w:rsidR="00B3570A" w:rsidRPr="00B3570A" w:rsidRDefault="00B3570A" w:rsidP="00B3570A">
            <w:pPr>
              <w:rPr>
                <w:rFonts w:ascii="Arial" w:hAnsi="Arial" w:cs="Arial"/>
                <w:i/>
                <w:color w:val="000000"/>
                <w:sz w:val="16"/>
                <w:szCs w:val="16"/>
                <w:lang w:eastAsia="es-CR"/>
              </w:rPr>
            </w:pPr>
            <w:r w:rsidRPr="00B3570A">
              <w:rPr>
                <w:rFonts w:ascii="Arial" w:hAnsi="Arial" w:cs="Arial"/>
                <w:i/>
                <w:color w:val="000000"/>
                <w:sz w:val="16"/>
                <w:szCs w:val="16"/>
                <w:lang w:eastAsia="es-CR"/>
              </w:rPr>
              <w:t>Destacada en la OPI para los sistemas  del PMI</w:t>
            </w:r>
          </w:p>
        </w:tc>
        <w:tc>
          <w:tcPr>
            <w:tcW w:w="309" w:type="pct"/>
            <w:tcBorders>
              <w:left w:val="nil"/>
            </w:tcBorders>
            <w:vAlign w:val="center"/>
          </w:tcPr>
          <w:p w:rsidR="00B3570A" w:rsidRPr="00B3570A" w:rsidRDefault="00B3570A" w:rsidP="00B3570A">
            <w:pPr>
              <w:rPr>
                <w:rFonts w:ascii="Arial" w:hAnsi="Arial" w:cs="Arial"/>
                <w:i/>
                <w:sz w:val="16"/>
                <w:szCs w:val="16"/>
              </w:rPr>
            </w:pPr>
          </w:p>
        </w:tc>
      </w:tr>
    </w:tbl>
    <w:p w:rsidR="004475CA" w:rsidRDefault="004475CA" w:rsidP="00B3570A">
      <w:pPr>
        <w:rPr>
          <w:rFonts w:ascii="Arial" w:hAnsi="Arial" w:cs="Arial"/>
          <w:b/>
        </w:rPr>
      </w:pPr>
    </w:p>
    <w:p w:rsidR="00B3570A" w:rsidRPr="00B3570A" w:rsidRDefault="00B3570A" w:rsidP="00B3570A">
      <w:pPr>
        <w:rPr>
          <w:rFonts w:ascii="Arial" w:hAnsi="Arial" w:cs="Arial"/>
          <w:b/>
        </w:rPr>
      </w:pPr>
      <w:r w:rsidRPr="00B3570A">
        <w:rPr>
          <w:rFonts w:ascii="Arial" w:hAnsi="Arial" w:cs="Arial"/>
          <w:b/>
        </w:rPr>
        <w:t>CONSIDERANDO QUE:</w:t>
      </w:r>
    </w:p>
    <w:p w:rsidR="00B3570A" w:rsidRPr="00B3570A" w:rsidRDefault="00B3570A" w:rsidP="00B3570A">
      <w:pPr>
        <w:rPr>
          <w:rFonts w:ascii="Arial" w:hAnsi="Arial" w:cs="Arial"/>
          <w:b/>
        </w:rPr>
      </w:pPr>
    </w:p>
    <w:p w:rsidR="00B3570A" w:rsidRPr="00B3570A" w:rsidRDefault="00B3570A" w:rsidP="00B3570A">
      <w:pPr>
        <w:numPr>
          <w:ilvl w:val="0"/>
          <w:numId w:val="13"/>
        </w:numPr>
        <w:contextualSpacing/>
        <w:jc w:val="both"/>
        <w:rPr>
          <w:rFonts w:ascii="Arial" w:eastAsia="Calibri" w:hAnsi="Arial" w:cs="Arial"/>
          <w:lang w:val="es-CR" w:eastAsia="en-US"/>
        </w:rPr>
      </w:pPr>
      <w:r w:rsidRPr="00B3570A">
        <w:rPr>
          <w:rFonts w:ascii="Arial" w:eastAsia="Calibri" w:hAnsi="Arial" w:cs="Arial"/>
          <w:lang w:val="es-CR" w:eastAsia="en-US"/>
        </w:rPr>
        <w:t xml:space="preserve">La Comisión de Planificación y Administración en la reunión No. 797-2018, realizada el jueves 22 de noviembre de 2018, conoció el oficio R-1268-2018, suscrito por el Dr. Julio César Calvo Alvarado, Rector, dirigido a la </w:t>
      </w:r>
      <w:proofErr w:type="spellStart"/>
      <w:r w:rsidRPr="00B3570A">
        <w:rPr>
          <w:rFonts w:ascii="Arial" w:eastAsia="Calibri" w:hAnsi="Arial" w:cs="Arial"/>
          <w:lang w:val="es-CR" w:eastAsia="en-US"/>
        </w:rPr>
        <w:t>MSc</w:t>
      </w:r>
      <w:proofErr w:type="spellEnd"/>
      <w:r w:rsidRPr="00B3570A">
        <w:rPr>
          <w:rFonts w:ascii="Arial" w:eastAsia="Calibri" w:hAnsi="Arial" w:cs="Arial"/>
          <w:lang w:val="es-CR" w:eastAsia="en-US"/>
        </w:rPr>
        <w:t>. Ana Rosa Ruiz Fernández, Coordinadora de la Comisión de Planificación y Administración, en el cual adjunta propuesta de modificación de la plaza FSBM-0012, para ampliar el nombramiento al 31 de diciembre de 2018, de acuerdo a las siguientes consideraciones:</w:t>
      </w:r>
    </w:p>
    <w:p w:rsidR="00B3570A" w:rsidRPr="00B3570A" w:rsidRDefault="00B3570A" w:rsidP="00B3570A">
      <w:pPr>
        <w:rPr>
          <w:rFonts w:ascii="Arial" w:hAnsi="Arial" w:cs="Arial"/>
          <w:b/>
        </w:rPr>
      </w:pPr>
    </w:p>
    <w:p w:rsidR="00B3570A" w:rsidRPr="00B3570A" w:rsidRDefault="00B3570A" w:rsidP="004475CA">
      <w:pPr>
        <w:ind w:left="567" w:right="191" w:hanging="283"/>
        <w:contextualSpacing/>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w:t>
      </w:r>
      <w:r w:rsidRPr="00B3570A">
        <w:rPr>
          <w:rFonts w:ascii="Arial" w:eastAsia="Calibri" w:hAnsi="Arial" w:cs="Arial"/>
          <w:i/>
          <w:sz w:val="20"/>
          <w:szCs w:val="20"/>
          <w:lang w:val="es-CR" w:eastAsia="en-US"/>
        </w:rPr>
        <w:t>1</w:t>
      </w:r>
      <w:r w:rsidRPr="00B3570A">
        <w:rPr>
          <w:rFonts w:ascii="Arial" w:eastAsia="Calibri" w:hAnsi="Arial" w:cs="Arial"/>
          <w:i/>
          <w:sz w:val="22"/>
          <w:szCs w:val="22"/>
          <w:lang w:val="es-CR" w:eastAsia="en-US"/>
        </w:rPr>
        <w:t>.  Se recibe el oficio OPI-750-2018 de la MAU. Tatiana Fernández Martín, Directora de la Oficina de Planificación Institucional mediante el cual solicita la modificación de la plaza FSBM-0012, detallando las siguientes razones:</w:t>
      </w:r>
    </w:p>
    <w:p w:rsidR="00B3570A" w:rsidRPr="00B3570A" w:rsidRDefault="00B3570A" w:rsidP="00DB5F1C">
      <w:pPr>
        <w:ind w:left="360"/>
        <w:contextualSpacing/>
        <w:jc w:val="both"/>
        <w:rPr>
          <w:rFonts w:ascii="Arial" w:eastAsia="Calibri" w:hAnsi="Arial" w:cs="Arial"/>
          <w:sz w:val="16"/>
          <w:szCs w:val="16"/>
          <w:lang w:val="es-CR" w:eastAsia="en-US"/>
        </w:rPr>
      </w:pPr>
    </w:p>
    <w:p w:rsidR="00B3570A" w:rsidRPr="00B3570A" w:rsidRDefault="00B3570A" w:rsidP="00DB5F1C">
      <w:pPr>
        <w:ind w:left="360" w:right="333"/>
        <w:contextualSpacing/>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La plaza es requerida para la atención de funciones específicas del Sistema de Indicadores de Gestión Institucional (SIGI) bajo el siguiente detalle:</w:t>
      </w:r>
    </w:p>
    <w:p w:rsidR="00B3570A" w:rsidRPr="00B3570A" w:rsidRDefault="00B3570A" w:rsidP="004475CA">
      <w:pPr>
        <w:ind w:left="360"/>
        <w:contextualSpacing/>
        <w:jc w:val="both"/>
        <w:rPr>
          <w:rFonts w:ascii="Arial" w:eastAsia="Calibri" w:hAnsi="Arial" w:cs="Arial"/>
          <w:sz w:val="16"/>
          <w:szCs w:val="16"/>
          <w:lang w:val="es-CR" w:eastAsia="en-US"/>
        </w:rPr>
      </w:pPr>
    </w:p>
    <w:p w:rsidR="00B3570A" w:rsidRPr="00B3570A" w:rsidRDefault="00B3570A" w:rsidP="004475CA">
      <w:pPr>
        <w:ind w:left="709" w:right="333" w:hanging="28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1.</w:t>
      </w:r>
      <w:r w:rsidRPr="00B3570A">
        <w:rPr>
          <w:rFonts w:ascii="Arial" w:eastAsia="Calibri" w:hAnsi="Arial" w:cs="Arial"/>
          <w:i/>
          <w:sz w:val="22"/>
          <w:szCs w:val="22"/>
          <w:lang w:val="es-CR" w:eastAsia="en-US"/>
        </w:rPr>
        <w:tab/>
        <w:t>Atención y soporte a usuarios del SIGI en consultas y capacitaciones</w:t>
      </w:r>
    </w:p>
    <w:p w:rsidR="00B3570A" w:rsidRPr="00B3570A" w:rsidRDefault="00B3570A" w:rsidP="004475CA">
      <w:pPr>
        <w:ind w:left="709" w:right="333" w:hanging="28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2.</w:t>
      </w:r>
      <w:r w:rsidRPr="00B3570A">
        <w:rPr>
          <w:rFonts w:ascii="Arial" w:eastAsia="Calibri" w:hAnsi="Arial" w:cs="Arial"/>
          <w:i/>
          <w:sz w:val="22"/>
          <w:szCs w:val="22"/>
          <w:lang w:val="es-CR" w:eastAsia="en-US"/>
        </w:rPr>
        <w:tab/>
        <w:t>Mantenimiento del SIGI, carga de datos y mantenimiento de servidores</w:t>
      </w:r>
    </w:p>
    <w:p w:rsidR="00B3570A" w:rsidRPr="00B3570A" w:rsidRDefault="00B3570A" w:rsidP="004475CA">
      <w:pPr>
        <w:ind w:left="709" w:right="333" w:hanging="28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3.</w:t>
      </w:r>
      <w:r w:rsidRPr="00B3570A">
        <w:rPr>
          <w:rFonts w:ascii="Arial" w:eastAsia="Calibri" w:hAnsi="Arial" w:cs="Arial"/>
          <w:i/>
          <w:sz w:val="22"/>
          <w:szCs w:val="22"/>
          <w:lang w:val="es-CR" w:eastAsia="en-US"/>
        </w:rPr>
        <w:tab/>
        <w:t>Validación de datos con las dependencias encargadas de cada proceso</w:t>
      </w:r>
    </w:p>
    <w:p w:rsidR="00B3570A" w:rsidRPr="00B3570A" w:rsidRDefault="00B3570A" w:rsidP="004475CA">
      <w:pPr>
        <w:ind w:left="709" w:right="333" w:hanging="28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4.</w:t>
      </w:r>
      <w:r w:rsidRPr="00B3570A">
        <w:rPr>
          <w:rFonts w:ascii="Arial" w:eastAsia="Calibri" w:hAnsi="Arial" w:cs="Arial"/>
          <w:i/>
          <w:sz w:val="22"/>
          <w:szCs w:val="22"/>
          <w:lang w:val="es-CR" w:eastAsia="en-US"/>
        </w:rPr>
        <w:tab/>
        <w:t>Seguimiento a las fuentes de datos, formatos Excel y bases de datos con inconsistencias, para posteriormente la puesta en marcha de los productos desarrollados</w:t>
      </w:r>
    </w:p>
    <w:p w:rsidR="00B3570A" w:rsidRPr="00B3570A" w:rsidRDefault="00B3570A" w:rsidP="004475CA">
      <w:pPr>
        <w:ind w:left="709" w:right="333" w:hanging="28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5.</w:t>
      </w:r>
      <w:r w:rsidRPr="00B3570A">
        <w:rPr>
          <w:rFonts w:ascii="Arial" w:eastAsia="Calibri" w:hAnsi="Arial" w:cs="Arial"/>
          <w:i/>
          <w:sz w:val="22"/>
          <w:szCs w:val="22"/>
          <w:lang w:val="es-CR" w:eastAsia="en-US"/>
        </w:rPr>
        <w:tab/>
        <w:t>Seguimiento al plan de actualización del SIGI para los cambios desarrollados en los sistemas del DAR</w:t>
      </w:r>
    </w:p>
    <w:p w:rsidR="00B3570A" w:rsidRPr="00B3570A" w:rsidRDefault="00B3570A" w:rsidP="004475CA">
      <w:pPr>
        <w:ind w:left="709" w:right="33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5.1 Se requiere analizar las nuevas estructuras desarrolladas por parte del DAR y determinar la magnitud de los cambios con respecto a los sistemas anteriores</w:t>
      </w:r>
    </w:p>
    <w:p w:rsidR="00B3570A" w:rsidRPr="00B3570A" w:rsidRDefault="00B3570A" w:rsidP="004475CA">
      <w:pPr>
        <w:ind w:left="709" w:right="33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5.2 Elaborar análisis de los cambios requeridos para integrar el SIGI con los nuevos sistemas del DAR</w:t>
      </w:r>
    </w:p>
    <w:p w:rsidR="00B3570A" w:rsidRPr="00B3570A" w:rsidRDefault="00B3570A" w:rsidP="004475CA">
      <w:pPr>
        <w:ind w:left="709" w:right="33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5.3 Diseñar estrategia para la implementación de los procesos de carga de datos de los nuevos sistemas del DAR</w:t>
      </w:r>
    </w:p>
    <w:p w:rsidR="00B3570A" w:rsidRPr="00B3570A" w:rsidRDefault="00B3570A" w:rsidP="004475CA">
      <w:pPr>
        <w:ind w:left="709" w:right="33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5.4 Desarrollar los cambios requeridos para la integración de los cambios requeridos, esto es el desarrollo de la solución para la integración de los sistemas</w:t>
      </w:r>
    </w:p>
    <w:p w:rsidR="00B3570A" w:rsidRPr="00B3570A" w:rsidRDefault="00B3570A" w:rsidP="004475CA">
      <w:pPr>
        <w:ind w:left="709" w:right="33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 xml:space="preserve">5.5 Implementar los cambios requeridos para la integración de los sistemas </w:t>
      </w:r>
    </w:p>
    <w:p w:rsidR="00B3570A" w:rsidRPr="00B3570A" w:rsidRDefault="00B3570A" w:rsidP="004475CA">
      <w:pPr>
        <w:ind w:left="709" w:right="33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5.6 Desarrollar las pruebas sobre la solución implementada</w:t>
      </w:r>
    </w:p>
    <w:p w:rsidR="00B3570A" w:rsidRPr="00B3570A" w:rsidRDefault="00B3570A" w:rsidP="004475CA">
      <w:pPr>
        <w:numPr>
          <w:ilvl w:val="1"/>
          <w:numId w:val="14"/>
        </w:numPr>
        <w:ind w:left="993" w:right="333" w:hanging="284"/>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Resolución de posibles incidentes y aplicación de mejoras</w:t>
      </w:r>
    </w:p>
    <w:p w:rsidR="00B3570A" w:rsidRPr="00B3570A" w:rsidRDefault="00B3570A" w:rsidP="004475CA">
      <w:pPr>
        <w:ind w:left="709" w:right="333" w:hanging="283"/>
        <w:jc w:val="both"/>
        <w:rPr>
          <w:rFonts w:ascii="Arial" w:eastAsia="Calibri" w:hAnsi="Arial" w:cs="Arial"/>
          <w:i/>
          <w:sz w:val="22"/>
          <w:szCs w:val="22"/>
          <w:lang w:val="es-CR" w:eastAsia="en-US"/>
        </w:rPr>
      </w:pPr>
      <w:r w:rsidRPr="00B3570A">
        <w:rPr>
          <w:rFonts w:ascii="Arial" w:eastAsia="Calibri" w:hAnsi="Arial" w:cs="Arial"/>
          <w:lang w:val="es-CR" w:eastAsia="en-US"/>
        </w:rPr>
        <w:t xml:space="preserve">6. </w:t>
      </w:r>
      <w:r w:rsidRPr="00B3570A">
        <w:rPr>
          <w:rFonts w:ascii="Arial" w:eastAsia="Calibri" w:hAnsi="Arial" w:cs="Arial"/>
          <w:i/>
          <w:sz w:val="22"/>
          <w:szCs w:val="22"/>
          <w:lang w:val="es-CR" w:eastAsia="en-US"/>
        </w:rPr>
        <w:t>Este sistema es utilizado actualmente en diversos procesos, entre ellos, acreditación de programas académicos, acreditación institucional, evaluación de los diversos planes y nutre datos para los indicadores de la gestión institucional, a la fecha 95 funcionarios que recibieron capacitación en el uso del citado sistema, actividad que seguirá desarrollándose. Por lo tanto, la no renovación de la plaza representa un riesgo en la gestión del actual sistema, tomando en cuenta que el SIGI es un cuantioso activo institucional que debe ser gestionado y del cual se debe garantizar su retorno de inversión para el TEC potenciándolo como la poderosa herramienta institucional que guie la toma de decisiones.</w:t>
      </w:r>
    </w:p>
    <w:p w:rsidR="00B3570A" w:rsidRPr="00B3570A" w:rsidRDefault="00B3570A" w:rsidP="004475CA">
      <w:pPr>
        <w:ind w:left="709" w:right="333" w:hanging="28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lastRenderedPageBreak/>
        <w:t>7. Es necesario formalizar este servicio a nivel institucional, por lo que se requiere contar con recursos que permitan realizar la gestión del sistema, específicamente en la OPI o DATIC, ya que de lo contrario se corre el riesgo de retroceder en cuanto a la gestión de la información, proceso que nos ha destacado en los últimos años</w:t>
      </w:r>
    </w:p>
    <w:p w:rsidR="00B3570A" w:rsidRPr="00B3570A" w:rsidRDefault="00B3570A" w:rsidP="004475CA">
      <w:pPr>
        <w:ind w:left="709" w:right="333" w:hanging="28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8. Mediante el ViDa-677-2018, el Ing. Luis Paulino Méndez, solicita la modificación de la plaza FSBM0012 del 01 de diciembre al 31 de diciembre del presente año.</w:t>
      </w:r>
    </w:p>
    <w:p w:rsidR="00B3570A" w:rsidRPr="00B3570A" w:rsidRDefault="00B3570A" w:rsidP="004475CA">
      <w:pPr>
        <w:ind w:left="709" w:right="333" w:hanging="28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9. Mediante el OPI-741-2018, se solicita información al Departamento de Recursos Humanos sobre economías de salario y la posibilidad de emitir criterio técnico sobre el impacto presupuestario para la modificación del periodo de utilización de dicha plaza, ampliándolo hasta el 31 de diciembre del 2018.</w:t>
      </w:r>
    </w:p>
    <w:p w:rsidR="00B3570A" w:rsidRPr="00B3570A" w:rsidRDefault="00B3570A" w:rsidP="004475CA">
      <w:pPr>
        <w:ind w:left="709" w:right="333" w:hanging="283"/>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10. Mediante el oficio RH-1239-2018, se indica que el costo de la misma para el periodo del 01 de diciembre hasta el 31 de diciembre es de ¢4.582.353,04. En cuanto a las economías se podrán tomar las generadas en el proyecto 91 Becas Postgrado a Docentes (Fondo del Sistema), para ello se debe realizar modificación presupuestaria.</w:t>
      </w:r>
    </w:p>
    <w:p w:rsidR="00B3570A" w:rsidRPr="00B3570A" w:rsidRDefault="00B3570A" w:rsidP="00B3570A">
      <w:pPr>
        <w:jc w:val="both"/>
        <w:rPr>
          <w:rFonts w:ascii="Arial" w:hAnsi="Arial" w:cs="Arial"/>
          <w:sz w:val="16"/>
          <w:szCs w:val="16"/>
        </w:rPr>
      </w:pPr>
    </w:p>
    <w:p w:rsidR="00B3570A" w:rsidRPr="00B3570A" w:rsidRDefault="00B3570A" w:rsidP="00B3570A">
      <w:pPr>
        <w:numPr>
          <w:ilvl w:val="0"/>
          <w:numId w:val="13"/>
        </w:numPr>
        <w:contextualSpacing/>
        <w:jc w:val="both"/>
        <w:rPr>
          <w:rFonts w:ascii="Arial" w:eastAsia="Calibri" w:hAnsi="Arial" w:cs="Arial"/>
          <w:lang w:val="es-CR" w:eastAsia="en-US"/>
        </w:rPr>
      </w:pPr>
      <w:proofErr w:type="gramStart"/>
      <w:r w:rsidRPr="00B3570A">
        <w:rPr>
          <w:rFonts w:ascii="Arial" w:eastAsia="Calibri" w:hAnsi="Arial" w:cs="Arial"/>
          <w:lang w:val="es-CR" w:eastAsia="en-US"/>
        </w:rPr>
        <w:t>El  Consejo</w:t>
      </w:r>
      <w:proofErr w:type="gramEnd"/>
      <w:r w:rsidRPr="00B3570A">
        <w:rPr>
          <w:rFonts w:ascii="Arial" w:eastAsia="Calibri" w:hAnsi="Arial" w:cs="Arial"/>
          <w:lang w:val="es-CR" w:eastAsia="en-US"/>
        </w:rPr>
        <w:t xml:space="preserve"> de Rectoría, en  Sesión Ordinaria N°37-2018, Artículo 4 del 30 de octubre, conoció  y avaló  la solicitud de la modificación de la plaza FSBM-0012, Profesional en Tecnologías de la Información y Comunicación, adscrita a la Vicerrectoría de Docencia, para ampliar el nombramiento hasta el 31 de diciembre, presenta mediante oficio OPI-750-2018.  En esta sesión, se discute el tema y se recomienda solicitar al Dr. Luis Humberto Villalta Solano, Vicerrector de Administración, el estudio de viabilidad    presupuestaria, necesaria   para autorizar la prórroga de dicho nombramiento, asimismo, solicitarle a la MAU.  Tatiana     Fernández ampliar la justificación de dicha prórroga.  Solicitud tramitada con oficio R-1120-2018.</w:t>
      </w:r>
    </w:p>
    <w:p w:rsidR="00B3570A" w:rsidRPr="00B3570A" w:rsidRDefault="00B3570A" w:rsidP="00B3570A">
      <w:pPr>
        <w:jc w:val="both"/>
        <w:rPr>
          <w:rFonts w:ascii="Arial" w:hAnsi="Arial" w:cs="Arial"/>
          <w:sz w:val="16"/>
          <w:szCs w:val="16"/>
        </w:rPr>
      </w:pPr>
    </w:p>
    <w:p w:rsidR="00B3570A" w:rsidRPr="00B3570A" w:rsidRDefault="00B3570A" w:rsidP="00B3570A">
      <w:pPr>
        <w:numPr>
          <w:ilvl w:val="0"/>
          <w:numId w:val="13"/>
        </w:numPr>
        <w:contextualSpacing/>
        <w:jc w:val="both"/>
        <w:rPr>
          <w:rFonts w:ascii="Arial" w:eastAsia="Calibri" w:hAnsi="Arial" w:cs="Arial"/>
          <w:lang w:val="es-CR" w:eastAsia="en-US"/>
        </w:rPr>
      </w:pPr>
      <w:r w:rsidRPr="00B3570A">
        <w:rPr>
          <w:rFonts w:ascii="Arial" w:eastAsia="Calibri" w:hAnsi="Arial" w:cs="Arial"/>
          <w:lang w:val="es-CR" w:eastAsia="en-US"/>
        </w:rPr>
        <w:t>Mediante oficio OPI-828-2018, la MAU. Tatiana Fernández, solicita al Dr. Humberto Villalta la viabilidad financiera para la modificación de la plaza en estudio, detallando una serie de insumos para respaldar la necesidad de la misma.</w:t>
      </w:r>
    </w:p>
    <w:p w:rsidR="00B3570A" w:rsidRPr="00B3570A" w:rsidRDefault="00B3570A" w:rsidP="00B3570A">
      <w:pPr>
        <w:jc w:val="both"/>
        <w:rPr>
          <w:rFonts w:ascii="Arial" w:hAnsi="Arial" w:cs="Arial"/>
          <w:sz w:val="16"/>
          <w:szCs w:val="16"/>
        </w:rPr>
      </w:pPr>
    </w:p>
    <w:p w:rsidR="00B3570A" w:rsidRPr="00B3570A" w:rsidRDefault="00B3570A" w:rsidP="00B3570A">
      <w:pPr>
        <w:numPr>
          <w:ilvl w:val="0"/>
          <w:numId w:val="13"/>
        </w:numPr>
        <w:contextualSpacing/>
        <w:jc w:val="both"/>
        <w:rPr>
          <w:rFonts w:ascii="Arial" w:eastAsia="Calibri" w:hAnsi="Arial" w:cs="Arial"/>
          <w:lang w:val="es-CR" w:eastAsia="en-US"/>
        </w:rPr>
      </w:pPr>
      <w:r w:rsidRPr="00B3570A">
        <w:rPr>
          <w:rFonts w:ascii="Arial" w:eastAsia="Calibri" w:hAnsi="Arial" w:cs="Arial"/>
          <w:lang w:val="es-CR" w:eastAsia="en-US"/>
        </w:rPr>
        <w:t xml:space="preserve">Mediante oficio VAD-721-2018 la MAE. </w:t>
      </w:r>
      <w:proofErr w:type="spellStart"/>
      <w:r w:rsidRPr="00B3570A">
        <w:rPr>
          <w:rFonts w:ascii="Arial" w:eastAsia="Calibri" w:hAnsi="Arial" w:cs="Arial"/>
          <w:lang w:val="es-CR" w:eastAsia="en-US"/>
        </w:rPr>
        <w:t>Kattya</w:t>
      </w:r>
      <w:proofErr w:type="spellEnd"/>
      <w:r w:rsidRPr="00B3570A">
        <w:rPr>
          <w:rFonts w:ascii="Arial" w:eastAsia="Calibri" w:hAnsi="Arial" w:cs="Arial"/>
          <w:lang w:val="es-CR" w:eastAsia="en-US"/>
        </w:rPr>
        <w:t xml:space="preserve"> Calderón Mora, en su calidad de Vicerrectora </w:t>
      </w:r>
      <w:proofErr w:type="spellStart"/>
      <w:r w:rsidRPr="00B3570A">
        <w:rPr>
          <w:rFonts w:ascii="Arial" w:eastAsia="Calibri" w:hAnsi="Arial" w:cs="Arial"/>
          <w:lang w:val="es-CR" w:eastAsia="en-US"/>
        </w:rPr>
        <w:t>a.i.</w:t>
      </w:r>
      <w:proofErr w:type="spellEnd"/>
      <w:r w:rsidRPr="00B3570A">
        <w:rPr>
          <w:rFonts w:ascii="Arial" w:eastAsia="Calibri" w:hAnsi="Arial" w:cs="Arial"/>
          <w:lang w:val="es-CR" w:eastAsia="en-US"/>
        </w:rPr>
        <w:t xml:space="preserve"> de Administración, en atención al oficio R-1220-2018 en atención al oficio OPI-828-2018, indica:  </w:t>
      </w:r>
    </w:p>
    <w:p w:rsidR="00B3570A" w:rsidRPr="00B3570A" w:rsidRDefault="00B3570A" w:rsidP="00B3570A">
      <w:pPr>
        <w:jc w:val="both"/>
        <w:rPr>
          <w:rFonts w:ascii="Arial" w:hAnsi="Arial" w:cs="Arial"/>
          <w:sz w:val="16"/>
          <w:szCs w:val="16"/>
        </w:rPr>
      </w:pPr>
    </w:p>
    <w:p w:rsidR="00B3570A" w:rsidRDefault="00B3570A" w:rsidP="00DB5F1C">
      <w:pPr>
        <w:ind w:left="360" w:right="333"/>
        <w:contextualSpacing/>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“En atención al oficio citado, la Vicerrectoría de Administración autoriza la viabilidad presupuestaria para la prórroga de nombramiento en la plaza FSBM-0012 hasta el 31 de diciembre del 2018 de Profesional en Tecnologías de Información y Comunicación (categoría 23, jornada 100%), sustentado en el criterio técnico preparado por el Departamento de Recursos Humanos, según oficio RH-1239-2018 por un monto de ₡4 582 353.04.</w:t>
      </w:r>
    </w:p>
    <w:p w:rsidR="00DB5F1C" w:rsidRPr="00B3570A" w:rsidRDefault="00DB5F1C" w:rsidP="00DB5F1C">
      <w:pPr>
        <w:ind w:left="360" w:right="333"/>
        <w:contextualSpacing/>
        <w:jc w:val="both"/>
        <w:rPr>
          <w:rFonts w:ascii="Arial" w:eastAsia="Calibri" w:hAnsi="Arial" w:cs="Arial"/>
          <w:i/>
          <w:sz w:val="22"/>
          <w:szCs w:val="22"/>
          <w:lang w:val="es-CR" w:eastAsia="en-US"/>
        </w:rPr>
      </w:pPr>
    </w:p>
    <w:p w:rsidR="00B3570A" w:rsidRPr="00B3570A" w:rsidRDefault="00B3570A" w:rsidP="00DB5F1C">
      <w:pPr>
        <w:ind w:left="360" w:right="333"/>
        <w:contextualSpacing/>
        <w:jc w:val="both"/>
        <w:rPr>
          <w:rFonts w:ascii="Arial" w:eastAsia="Calibri" w:hAnsi="Arial" w:cs="Arial"/>
          <w:i/>
          <w:sz w:val="22"/>
          <w:szCs w:val="22"/>
          <w:lang w:val="es-CR" w:eastAsia="en-US"/>
        </w:rPr>
      </w:pPr>
      <w:r w:rsidRPr="00B3570A">
        <w:rPr>
          <w:rFonts w:ascii="Arial" w:eastAsia="Calibri" w:hAnsi="Arial" w:cs="Arial"/>
          <w:i/>
          <w:sz w:val="22"/>
          <w:szCs w:val="22"/>
          <w:lang w:val="es-CR" w:eastAsia="en-US"/>
        </w:rPr>
        <w:t>Los recursos económicos serán tomados de las economías generadas del Proyecto 91 Becas Postgrados a Docentes (Fondos del Sistema), mediante modificación presupuestaria formal.”</w:t>
      </w:r>
    </w:p>
    <w:p w:rsidR="00B3570A" w:rsidRPr="00B3570A" w:rsidRDefault="00B3570A" w:rsidP="00DB5F1C">
      <w:pPr>
        <w:ind w:left="139" w:right="333"/>
        <w:contextualSpacing/>
        <w:jc w:val="both"/>
        <w:rPr>
          <w:rFonts w:ascii="Arial" w:eastAsia="Calibri" w:hAnsi="Arial" w:cs="Arial"/>
          <w:i/>
          <w:sz w:val="22"/>
          <w:szCs w:val="22"/>
          <w:lang w:val="es-CR" w:eastAsia="en-US"/>
        </w:rPr>
      </w:pPr>
    </w:p>
    <w:p w:rsidR="00B3570A" w:rsidRDefault="00B3570A" w:rsidP="00B3570A">
      <w:pPr>
        <w:numPr>
          <w:ilvl w:val="0"/>
          <w:numId w:val="13"/>
        </w:numPr>
        <w:contextualSpacing/>
        <w:jc w:val="both"/>
        <w:rPr>
          <w:rFonts w:ascii="Arial" w:eastAsia="Calibri" w:hAnsi="Arial" w:cs="Arial"/>
          <w:lang w:val="es-CR" w:eastAsia="en-US"/>
        </w:rPr>
      </w:pPr>
      <w:r w:rsidRPr="00B3570A">
        <w:rPr>
          <w:rFonts w:ascii="Arial" w:eastAsia="Calibri" w:hAnsi="Arial" w:cs="Arial"/>
          <w:lang w:val="es-CR" w:eastAsia="en-US"/>
        </w:rPr>
        <w:t>De acuerdo lo anterior, se dispone elevar la propuesta al Consejo Institucional.</w:t>
      </w:r>
    </w:p>
    <w:p w:rsidR="00DB5F1C" w:rsidRPr="00B3570A" w:rsidRDefault="00DB5F1C" w:rsidP="00DB5F1C">
      <w:pPr>
        <w:ind w:left="360"/>
        <w:contextualSpacing/>
        <w:jc w:val="both"/>
        <w:rPr>
          <w:rFonts w:ascii="Arial" w:eastAsia="Calibri" w:hAnsi="Arial" w:cs="Arial"/>
          <w:lang w:val="es-CR" w:eastAsia="en-US"/>
        </w:rPr>
      </w:pPr>
    </w:p>
    <w:p w:rsidR="00B3570A" w:rsidRPr="00B3570A" w:rsidRDefault="00B3570A" w:rsidP="00B3570A">
      <w:pPr>
        <w:rPr>
          <w:rFonts w:ascii="Arial" w:hAnsi="Arial" w:cs="Arial"/>
          <w:b/>
          <w:sz w:val="28"/>
        </w:rPr>
      </w:pPr>
      <w:r w:rsidRPr="00B3570A">
        <w:rPr>
          <w:rFonts w:ascii="Arial" w:hAnsi="Arial" w:cs="Arial"/>
          <w:b/>
        </w:rPr>
        <w:t>SE</w:t>
      </w:r>
      <w:r>
        <w:rPr>
          <w:rFonts w:ascii="Arial" w:hAnsi="Arial" w:cs="Arial"/>
          <w:b/>
        </w:rPr>
        <w:t xml:space="preserve"> ACUERDA</w:t>
      </w:r>
      <w:r w:rsidRPr="00B3570A">
        <w:rPr>
          <w:rFonts w:ascii="Arial" w:hAnsi="Arial" w:cs="Arial"/>
          <w:b/>
          <w:sz w:val="28"/>
        </w:rPr>
        <w:t>:</w:t>
      </w:r>
    </w:p>
    <w:p w:rsidR="00B3570A" w:rsidRPr="00B3570A" w:rsidRDefault="00B3570A" w:rsidP="00B3570A">
      <w:pPr>
        <w:rPr>
          <w:rFonts w:ascii="Arial" w:hAnsi="Arial" w:cs="Arial"/>
          <w:b/>
          <w:sz w:val="20"/>
          <w:szCs w:val="20"/>
        </w:rPr>
      </w:pPr>
    </w:p>
    <w:p w:rsidR="00B3570A" w:rsidRPr="00B3570A" w:rsidRDefault="00B3570A" w:rsidP="00B3570A">
      <w:pPr>
        <w:numPr>
          <w:ilvl w:val="0"/>
          <w:numId w:val="12"/>
        </w:numPr>
        <w:ind w:left="284"/>
        <w:contextualSpacing/>
        <w:jc w:val="both"/>
        <w:rPr>
          <w:rFonts w:ascii="Arial" w:eastAsia="Calibri" w:hAnsi="Arial" w:cs="Arial"/>
          <w:lang w:val="es-CR" w:eastAsia="en-US"/>
        </w:rPr>
      </w:pPr>
      <w:r w:rsidRPr="00B3570A">
        <w:rPr>
          <w:rFonts w:ascii="Arial" w:eastAsia="Calibri" w:hAnsi="Arial" w:cs="Arial"/>
          <w:lang w:eastAsia="en-US"/>
        </w:rPr>
        <w:t xml:space="preserve"> Modificar el período de utilización de la plaza FSBM-0012, Profesional en Tecnologías de la Información y Comunicación, categoría 23, adscrita a la Vicerrectoría de Docencia, del 01 de diciembre al 31 de diciembre del 2018</w:t>
      </w:r>
      <w:r w:rsidRPr="00B3570A">
        <w:rPr>
          <w:rFonts w:ascii="Arial" w:eastAsia="Calibri" w:hAnsi="Arial" w:cs="Arial"/>
          <w:lang w:val="es-CR" w:eastAsia="en-US"/>
        </w:rPr>
        <w:t>, con las características del siguiente cuadro:</w:t>
      </w:r>
    </w:p>
    <w:p w:rsidR="00B3570A" w:rsidRPr="00B3570A" w:rsidRDefault="00B3570A" w:rsidP="00B3570A">
      <w:pPr>
        <w:rPr>
          <w:rFonts w:ascii="Arial" w:eastAsia="Arial" w:hAnsi="Arial" w:cs="Arial"/>
          <w:b/>
          <w:sz w:val="16"/>
          <w:szCs w:val="16"/>
        </w:rPr>
      </w:pPr>
    </w:p>
    <w:tbl>
      <w:tblPr>
        <w:tblW w:w="5852" w:type="pct"/>
        <w:tblInd w:w="-497" w:type="dxa"/>
        <w:tblLayout w:type="fixed"/>
        <w:tblCellMar>
          <w:left w:w="70" w:type="dxa"/>
          <w:right w:w="70" w:type="dxa"/>
        </w:tblCellMar>
        <w:tblLook w:val="04A0" w:firstRow="1" w:lastRow="0" w:firstColumn="1" w:lastColumn="0" w:noHBand="0" w:noVBand="1"/>
      </w:tblPr>
      <w:tblGrid>
        <w:gridCol w:w="429"/>
        <w:gridCol w:w="1348"/>
        <w:gridCol w:w="1660"/>
        <w:gridCol w:w="573"/>
        <w:gridCol w:w="716"/>
        <w:gridCol w:w="718"/>
        <w:gridCol w:w="716"/>
        <w:gridCol w:w="1144"/>
        <w:gridCol w:w="1433"/>
        <w:gridCol w:w="1718"/>
        <w:gridCol w:w="161"/>
      </w:tblGrid>
      <w:tr w:rsidR="00B3570A" w:rsidRPr="00B3570A" w:rsidTr="003A0AFF">
        <w:trPr>
          <w:gridAfter w:val="1"/>
          <w:wAfter w:w="76" w:type="pct"/>
          <w:trHeight w:val="1032"/>
        </w:trPr>
        <w:tc>
          <w:tcPr>
            <w:tcW w:w="202"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B3570A" w:rsidRPr="00B3570A" w:rsidRDefault="00B3570A" w:rsidP="00B3570A">
            <w:pPr>
              <w:jc w:val="center"/>
              <w:rPr>
                <w:rFonts w:ascii="Arial" w:hAnsi="Arial" w:cs="Arial"/>
                <w:b/>
                <w:bCs/>
                <w:color w:val="FFFFFF"/>
                <w:sz w:val="22"/>
                <w:szCs w:val="22"/>
                <w:lang w:eastAsia="es-CR"/>
              </w:rPr>
            </w:pPr>
            <w:r w:rsidRPr="00B3570A">
              <w:rPr>
                <w:rFonts w:ascii="Arial" w:hAnsi="Arial" w:cs="Arial"/>
                <w:b/>
                <w:bCs/>
                <w:color w:val="FFFFFF"/>
                <w:sz w:val="22"/>
                <w:szCs w:val="22"/>
                <w:lang w:eastAsia="es-CR"/>
              </w:rPr>
              <w:t>Programa</w:t>
            </w:r>
          </w:p>
        </w:tc>
        <w:tc>
          <w:tcPr>
            <w:tcW w:w="635" w:type="pct"/>
            <w:tcBorders>
              <w:top w:val="single" w:sz="4" w:space="0" w:color="auto"/>
              <w:left w:val="nil"/>
              <w:bottom w:val="single" w:sz="4" w:space="0" w:color="auto"/>
              <w:right w:val="single" w:sz="4" w:space="0" w:color="auto"/>
            </w:tcBorders>
            <w:shd w:val="clear" w:color="000000" w:fill="2F75B5"/>
            <w:vAlign w:val="center"/>
            <w:hideMark/>
          </w:tcPr>
          <w:p w:rsidR="00B3570A" w:rsidRPr="00B3570A" w:rsidRDefault="00B3570A" w:rsidP="00B3570A">
            <w:pPr>
              <w:jc w:val="center"/>
              <w:rPr>
                <w:rFonts w:ascii="Arial" w:hAnsi="Arial" w:cs="Arial"/>
                <w:b/>
                <w:bCs/>
                <w:color w:val="FFFFFF"/>
                <w:sz w:val="22"/>
                <w:szCs w:val="22"/>
                <w:lang w:eastAsia="es-CR"/>
              </w:rPr>
            </w:pPr>
            <w:r w:rsidRPr="00B3570A">
              <w:rPr>
                <w:rFonts w:ascii="Arial" w:hAnsi="Arial" w:cs="Arial"/>
                <w:b/>
                <w:bCs/>
                <w:color w:val="FFFFFF"/>
                <w:sz w:val="22"/>
                <w:szCs w:val="22"/>
                <w:lang w:eastAsia="es-CR"/>
              </w:rPr>
              <w:t># Plaza</w:t>
            </w:r>
          </w:p>
        </w:tc>
        <w:tc>
          <w:tcPr>
            <w:tcW w:w="782" w:type="pct"/>
            <w:tcBorders>
              <w:top w:val="single" w:sz="4" w:space="0" w:color="auto"/>
              <w:left w:val="nil"/>
              <w:bottom w:val="single" w:sz="4" w:space="0" w:color="auto"/>
              <w:right w:val="single" w:sz="4" w:space="0" w:color="auto"/>
            </w:tcBorders>
            <w:shd w:val="clear" w:color="000000" w:fill="2F75B5"/>
          </w:tcPr>
          <w:p w:rsidR="00B3570A" w:rsidRPr="00B3570A" w:rsidRDefault="00B3570A" w:rsidP="00B3570A">
            <w:pPr>
              <w:keepNext/>
              <w:jc w:val="center"/>
              <w:outlineLvl w:val="0"/>
              <w:rPr>
                <w:rFonts w:ascii="Arial" w:hAnsi="Arial" w:cs="Arial"/>
                <w:b/>
                <w:bCs/>
                <w:color w:val="FFFFFF"/>
                <w:sz w:val="22"/>
                <w:szCs w:val="22"/>
                <w:lang w:eastAsia="es-CR"/>
              </w:rPr>
            </w:pPr>
          </w:p>
          <w:p w:rsidR="00B3570A" w:rsidRPr="00B3570A" w:rsidRDefault="00B3570A" w:rsidP="00B3570A">
            <w:pPr>
              <w:keepNext/>
              <w:jc w:val="center"/>
              <w:outlineLvl w:val="0"/>
              <w:rPr>
                <w:rFonts w:ascii="Arial" w:hAnsi="Arial" w:cs="Arial"/>
                <w:b/>
                <w:bCs/>
                <w:color w:val="FFFFFF"/>
                <w:sz w:val="22"/>
                <w:szCs w:val="22"/>
                <w:lang w:eastAsia="es-CR"/>
              </w:rPr>
            </w:pPr>
          </w:p>
          <w:p w:rsidR="00B3570A" w:rsidRPr="00B3570A" w:rsidRDefault="00B3570A" w:rsidP="00B3570A">
            <w:pPr>
              <w:keepNext/>
              <w:jc w:val="center"/>
              <w:outlineLvl w:val="0"/>
              <w:rPr>
                <w:rFonts w:ascii="Arial" w:hAnsi="Arial" w:cs="Arial"/>
                <w:b/>
                <w:bCs/>
                <w:color w:val="FFFFFF"/>
                <w:sz w:val="22"/>
                <w:szCs w:val="22"/>
                <w:lang w:eastAsia="es-CR"/>
              </w:rPr>
            </w:pPr>
            <w:r w:rsidRPr="00B3570A">
              <w:rPr>
                <w:rFonts w:ascii="Arial" w:hAnsi="Arial" w:cs="Arial"/>
                <w:b/>
                <w:bCs/>
                <w:color w:val="FFFFFF"/>
                <w:sz w:val="22"/>
                <w:szCs w:val="22"/>
                <w:lang w:eastAsia="es-CR"/>
              </w:rPr>
              <w:t>Puesto</w:t>
            </w:r>
          </w:p>
        </w:tc>
        <w:tc>
          <w:tcPr>
            <w:tcW w:w="270" w:type="pct"/>
            <w:tcBorders>
              <w:top w:val="single" w:sz="4" w:space="0" w:color="auto"/>
              <w:left w:val="single" w:sz="4" w:space="0" w:color="auto"/>
              <w:bottom w:val="single" w:sz="4" w:space="0" w:color="auto"/>
              <w:right w:val="single" w:sz="4" w:space="0" w:color="auto"/>
            </w:tcBorders>
            <w:shd w:val="clear" w:color="000000" w:fill="2F75B5"/>
            <w:vAlign w:val="center"/>
            <w:hideMark/>
          </w:tcPr>
          <w:p w:rsidR="00B3570A" w:rsidRPr="00B3570A" w:rsidRDefault="00B3570A" w:rsidP="00B3570A">
            <w:pPr>
              <w:jc w:val="center"/>
              <w:rPr>
                <w:rFonts w:ascii="Arial" w:hAnsi="Arial" w:cs="Arial"/>
                <w:b/>
                <w:bCs/>
                <w:color w:val="FFFFFF"/>
                <w:sz w:val="22"/>
                <w:szCs w:val="22"/>
                <w:lang w:eastAsia="es-CR"/>
              </w:rPr>
            </w:pPr>
            <w:r w:rsidRPr="00B3570A">
              <w:rPr>
                <w:rFonts w:ascii="Arial" w:hAnsi="Arial" w:cs="Arial"/>
                <w:b/>
                <w:bCs/>
                <w:color w:val="FFFFFF"/>
                <w:sz w:val="22"/>
                <w:szCs w:val="22"/>
                <w:lang w:eastAsia="es-CR"/>
              </w:rPr>
              <w:t>Cat.</w:t>
            </w:r>
          </w:p>
        </w:tc>
        <w:tc>
          <w:tcPr>
            <w:tcW w:w="337"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B3570A" w:rsidRPr="00B3570A" w:rsidRDefault="00B3570A" w:rsidP="00B3570A">
            <w:pPr>
              <w:jc w:val="center"/>
              <w:rPr>
                <w:rFonts w:ascii="Arial" w:hAnsi="Arial" w:cs="Arial"/>
                <w:b/>
                <w:bCs/>
                <w:color w:val="FFFFFF"/>
                <w:sz w:val="22"/>
                <w:szCs w:val="22"/>
                <w:lang w:eastAsia="es-CR"/>
              </w:rPr>
            </w:pPr>
            <w:r w:rsidRPr="00B3570A">
              <w:rPr>
                <w:rFonts w:ascii="Arial" w:hAnsi="Arial" w:cs="Arial"/>
                <w:b/>
                <w:bCs/>
                <w:color w:val="FFFFFF"/>
                <w:sz w:val="22"/>
                <w:szCs w:val="22"/>
                <w:lang w:eastAsia="es-CR"/>
              </w:rPr>
              <w:t>Jornada</w:t>
            </w:r>
          </w:p>
        </w:tc>
        <w:tc>
          <w:tcPr>
            <w:tcW w:w="338"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B3570A" w:rsidRPr="00B3570A" w:rsidRDefault="00B3570A" w:rsidP="00B3570A">
            <w:pPr>
              <w:jc w:val="center"/>
              <w:rPr>
                <w:rFonts w:ascii="Arial" w:hAnsi="Arial" w:cs="Arial"/>
                <w:b/>
                <w:bCs/>
                <w:color w:val="FFFFFF"/>
                <w:sz w:val="22"/>
                <w:szCs w:val="22"/>
                <w:lang w:eastAsia="es-CR"/>
              </w:rPr>
            </w:pPr>
            <w:r w:rsidRPr="00B3570A">
              <w:rPr>
                <w:rFonts w:ascii="Arial" w:hAnsi="Arial" w:cs="Arial"/>
                <w:b/>
                <w:bCs/>
                <w:color w:val="FFFFFF"/>
                <w:sz w:val="22"/>
                <w:szCs w:val="22"/>
                <w:lang w:eastAsia="es-CR"/>
              </w:rPr>
              <w:t>Periodo (meses)</w:t>
            </w:r>
          </w:p>
        </w:tc>
        <w:tc>
          <w:tcPr>
            <w:tcW w:w="337" w:type="pct"/>
            <w:tcBorders>
              <w:top w:val="single" w:sz="4" w:space="0" w:color="auto"/>
              <w:left w:val="nil"/>
              <w:bottom w:val="single" w:sz="4" w:space="0" w:color="auto"/>
              <w:right w:val="single" w:sz="4" w:space="0" w:color="auto"/>
            </w:tcBorders>
            <w:shd w:val="clear" w:color="000000" w:fill="2F75B5"/>
            <w:vAlign w:val="center"/>
            <w:hideMark/>
          </w:tcPr>
          <w:p w:rsidR="00B3570A" w:rsidRPr="00B3570A" w:rsidRDefault="00B3570A" w:rsidP="00B3570A">
            <w:pPr>
              <w:jc w:val="center"/>
              <w:rPr>
                <w:rFonts w:ascii="Arial" w:hAnsi="Arial" w:cs="Arial"/>
                <w:b/>
                <w:bCs/>
                <w:color w:val="FFFFFF"/>
                <w:sz w:val="22"/>
                <w:szCs w:val="22"/>
                <w:lang w:eastAsia="es-CR"/>
              </w:rPr>
            </w:pPr>
            <w:r w:rsidRPr="00B3570A">
              <w:rPr>
                <w:rFonts w:ascii="Arial" w:hAnsi="Arial" w:cs="Arial"/>
                <w:b/>
                <w:bCs/>
                <w:color w:val="FFFFFF"/>
                <w:sz w:val="22"/>
                <w:szCs w:val="22"/>
                <w:lang w:eastAsia="es-CR"/>
              </w:rPr>
              <w:t>TCE</w:t>
            </w:r>
          </w:p>
        </w:tc>
        <w:tc>
          <w:tcPr>
            <w:tcW w:w="539" w:type="pct"/>
            <w:tcBorders>
              <w:top w:val="single" w:sz="4" w:space="0" w:color="auto"/>
              <w:left w:val="nil"/>
              <w:bottom w:val="single" w:sz="4" w:space="0" w:color="auto"/>
              <w:right w:val="single" w:sz="4" w:space="0" w:color="auto"/>
            </w:tcBorders>
            <w:shd w:val="clear" w:color="000000" w:fill="2F75B5"/>
            <w:vAlign w:val="center"/>
            <w:hideMark/>
          </w:tcPr>
          <w:p w:rsidR="00B3570A" w:rsidRPr="00B3570A" w:rsidRDefault="00B3570A" w:rsidP="00B3570A">
            <w:pPr>
              <w:jc w:val="center"/>
              <w:rPr>
                <w:rFonts w:ascii="Arial" w:hAnsi="Arial" w:cs="Arial"/>
                <w:b/>
                <w:bCs/>
                <w:color w:val="FFFFFF"/>
                <w:sz w:val="22"/>
                <w:szCs w:val="22"/>
                <w:lang w:eastAsia="es-CR"/>
              </w:rPr>
            </w:pPr>
            <w:r w:rsidRPr="00B3570A">
              <w:rPr>
                <w:rFonts w:ascii="Arial" w:hAnsi="Arial" w:cs="Arial"/>
                <w:b/>
                <w:bCs/>
                <w:color w:val="FFFFFF"/>
                <w:sz w:val="22"/>
                <w:szCs w:val="22"/>
                <w:lang w:eastAsia="es-CR"/>
              </w:rPr>
              <w:t>Nombra-miento</w:t>
            </w:r>
          </w:p>
        </w:tc>
        <w:tc>
          <w:tcPr>
            <w:tcW w:w="675" w:type="pct"/>
            <w:tcBorders>
              <w:top w:val="single" w:sz="4" w:space="0" w:color="auto"/>
              <w:left w:val="nil"/>
              <w:bottom w:val="single" w:sz="4" w:space="0" w:color="auto"/>
              <w:right w:val="single" w:sz="4" w:space="0" w:color="auto"/>
            </w:tcBorders>
            <w:shd w:val="clear" w:color="000000" w:fill="2F75B5"/>
            <w:vAlign w:val="center"/>
            <w:hideMark/>
          </w:tcPr>
          <w:p w:rsidR="00B3570A" w:rsidRPr="00B3570A" w:rsidRDefault="00B3570A" w:rsidP="00B3570A">
            <w:pPr>
              <w:jc w:val="center"/>
              <w:rPr>
                <w:rFonts w:ascii="Arial" w:hAnsi="Arial" w:cs="Arial"/>
                <w:b/>
                <w:bCs/>
                <w:color w:val="FFFFFF"/>
                <w:sz w:val="22"/>
                <w:szCs w:val="22"/>
                <w:lang w:eastAsia="es-CR"/>
              </w:rPr>
            </w:pPr>
            <w:r w:rsidRPr="00B3570A">
              <w:rPr>
                <w:rFonts w:ascii="Arial" w:hAnsi="Arial" w:cs="Arial"/>
                <w:b/>
                <w:bCs/>
                <w:color w:val="FFFFFF"/>
                <w:sz w:val="22"/>
                <w:szCs w:val="22"/>
                <w:lang w:eastAsia="es-CR"/>
              </w:rPr>
              <w:t>Adscrita a:</w:t>
            </w:r>
          </w:p>
        </w:tc>
        <w:tc>
          <w:tcPr>
            <w:tcW w:w="809" w:type="pct"/>
            <w:tcBorders>
              <w:top w:val="single" w:sz="4" w:space="0" w:color="auto"/>
              <w:left w:val="nil"/>
              <w:bottom w:val="single" w:sz="4" w:space="0" w:color="auto"/>
            </w:tcBorders>
            <w:shd w:val="clear" w:color="000000" w:fill="2F75B5"/>
            <w:vAlign w:val="center"/>
            <w:hideMark/>
          </w:tcPr>
          <w:p w:rsidR="00B3570A" w:rsidRPr="00B3570A" w:rsidRDefault="00B3570A" w:rsidP="00B3570A">
            <w:pPr>
              <w:jc w:val="center"/>
              <w:rPr>
                <w:rFonts w:ascii="Arial" w:hAnsi="Arial" w:cs="Arial"/>
                <w:b/>
                <w:bCs/>
                <w:color w:val="FFFFFF"/>
                <w:sz w:val="22"/>
                <w:szCs w:val="22"/>
                <w:lang w:eastAsia="es-CR"/>
              </w:rPr>
            </w:pPr>
            <w:r w:rsidRPr="00B3570A">
              <w:rPr>
                <w:rFonts w:ascii="Arial" w:hAnsi="Arial" w:cs="Arial"/>
                <w:b/>
                <w:bCs/>
                <w:color w:val="FFFFFF"/>
                <w:sz w:val="22"/>
                <w:szCs w:val="22"/>
                <w:lang w:eastAsia="es-CR"/>
              </w:rPr>
              <w:t>Observaciones</w:t>
            </w:r>
          </w:p>
        </w:tc>
      </w:tr>
      <w:tr w:rsidR="00B3570A" w:rsidRPr="00B3570A" w:rsidTr="003A0AFF">
        <w:trPr>
          <w:trHeight w:val="959"/>
        </w:trPr>
        <w:tc>
          <w:tcPr>
            <w:tcW w:w="202" w:type="pct"/>
            <w:tcBorders>
              <w:top w:val="nil"/>
              <w:left w:val="nil"/>
              <w:bottom w:val="single" w:sz="4" w:space="0" w:color="auto"/>
              <w:right w:val="single" w:sz="4" w:space="0" w:color="auto"/>
            </w:tcBorders>
            <w:shd w:val="clear" w:color="auto" w:fill="auto"/>
            <w:noWrap/>
            <w:vAlign w:val="center"/>
            <w:hideMark/>
          </w:tcPr>
          <w:p w:rsidR="00B3570A" w:rsidRPr="00B3570A" w:rsidRDefault="00B3570A" w:rsidP="00B3570A">
            <w:pPr>
              <w:jc w:val="center"/>
              <w:rPr>
                <w:rFonts w:ascii="Arial" w:hAnsi="Arial" w:cs="Arial"/>
                <w:color w:val="000000"/>
                <w:sz w:val="22"/>
                <w:szCs w:val="22"/>
                <w:lang w:eastAsia="es-CR"/>
              </w:rPr>
            </w:pPr>
            <w:r w:rsidRPr="00B3570A">
              <w:rPr>
                <w:rFonts w:ascii="Arial" w:hAnsi="Arial" w:cs="Arial"/>
                <w:sz w:val="22"/>
                <w:szCs w:val="22"/>
                <w:lang w:eastAsia="es-CR"/>
              </w:rPr>
              <w:t>2</w:t>
            </w:r>
          </w:p>
        </w:tc>
        <w:tc>
          <w:tcPr>
            <w:tcW w:w="635" w:type="pct"/>
            <w:tcBorders>
              <w:top w:val="nil"/>
              <w:left w:val="nil"/>
              <w:bottom w:val="single" w:sz="4" w:space="0" w:color="auto"/>
              <w:right w:val="single" w:sz="4" w:space="0" w:color="auto"/>
            </w:tcBorders>
            <w:shd w:val="clear" w:color="auto" w:fill="auto"/>
            <w:noWrap/>
            <w:vAlign w:val="center"/>
            <w:hideMark/>
          </w:tcPr>
          <w:p w:rsidR="00B3570A" w:rsidRPr="00B3570A" w:rsidRDefault="00B3570A" w:rsidP="00B3570A">
            <w:pPr>
              <w:jc w:val="center"/>
              <w:rPr>
                <w:rFonts w:ascii="Arial" w:hAnsi="Arial" w:cs="Arial"/>
                <w:color w:val="000000"/>
                <w:sz w:val="22"/>
                <w:szCs w:val="22"/>
                <w:lang w:eastAsia="es-CR"/>
              </w:rPr>
            </w:pPr>
            <w:r w:rsidRPr="00B3570A">
              <w:rPr>
                <w:rFonts w:ascii="Arial" w:hAnsi="Arial" w:cs="Arial"/>
                <w:sz w:val="22"/>
                <w:szCs w:val="22"/>
                <w:lang w:eastAsia="es-CR"/>
              </w:rPr>
              <w:t>FSBM0012</w:t>
            </w:r>
          </w:p>
        </w:tc>
        <w:tc>
          <w:tcPr>
            <w:tcW w:w="782" w:type="pct"/>
            <w:tcBorders>
              <w:top w:val="single" w:sz="4" w:space="0" w:color="auto"/>
              <w:left w:val="nil"/>
              <w:bottom w:val="single" w:sz="4" w:space="0" w:color="auto"/>
              <w:right w:val="single" w:sz="4" w:space="0" w:color="auto"/>
            </w:tcBorders>
          </w:tcPr>
          <w:p w:rsidR="00B3570A" w:rsidRPr="00B3570A" w:rsidRDefault="00B3570A" w:rsidP="00B3570A">
            <w:pPr>
              <w:jc w:val="center"/>
              <w:rPr>
                <w:rFonts w:ascii="Arial" w:hAnsi="Arial" w:cs="Arial"/>
                <w:sz w:val="22"/>
                <w:szCs w:val="22"/>
                <w:lang w:eastAsia="es-CR"/>
              </w:rPr>
            </w:pPr>
            <w:r w:rsidRPr="00B3570A">
              <w:rPr>
                <w:rFonts w:ascii="Arial" w:hAnsi="Arial" w:cs="Arial"/>
                <w:sz w:val="22"/>
                <w:szCs w:val="22"/>
                <w:lang w:eastAsia="es-CR"/>
              </w:rPr>
              <w:t>Profesional en Tecnologías de la Información y Comunicación</w:t>
            </w:r>
          </w:p>
        </w:tc>
        <w:tc>
          <w:tcPr>
            <w:tcW w:w="270" w:type="pct"/>
            <w:tcBorders>
              <w:top w:val="nil"/>
              <w:left w:val="nil"/>
              <w:bottom w:val="single" w:sz="4" w:space="0" w:color="auto"/>
              <w:right w:val="single" w:sz="4" w:space="0" w:color="auto"/>
            </w:tcBorders>
            <w:shd w:val="clear" w:color="auto" w:fill="auto"/>
            <w:noWrap/>
            <w:vAlign w:val="center"/>
            <w:hideMark/>
          </w:tcPr>
          <w:p w:rsidR="00B3570A" w:rsidRPr="00B3570A" w:rsidRDefault="00B3570A" w:rsidP="00B3570A">
            <w:pPr>
              <w:jc w:val="center"/>
              <w:rPr>
                <w:rFonts w:ascii="Arial" w:hAnsi="Arial" w:cs="Arial"/>
                <w:color w:val="000000"/>
                <w:sz w:val="22"/>
                <w:szCs w:val="22"/>
                <w:lang w:eastAsia="es-CR"/>
              </w:rPr>
            </w:pPr>
            <w:r w:rsidRPr="00B3570A">
              <w:rPr>
                <w:rFonts w:ascii="Arial" w:hAnsi="Arial" w:cs="Arial"/>
                <w:sz w:val="22"/>
                <w:szCs w:val="22"/>
                <w:lang w:eastAsia="es-CR"/>
              </w:rPr>
              <w:t>23</w:t>
            </w:r>
          </w:p>
        </w:tc>
        <w:tc>
          <w:tcPr>
            <w:tcW w:w="337" w:type="pct"/>
            <w:tcBorders>
              <w:top w:val="nil"/>
              <w:left w:val="nil"/>
              <w:bottom w:val="single" w:sz="4" w:space="0" w:color="auto"/>
              <w:right w:val="single" w:sz="4" w:space="0" w:color="auto"/>
            </w:tcBorders>
            <w:shd w:val="clear" w:color="auto" w:fill="auto"/>
            <w:noWrap/>
            <w:vAlign w:val="center"/>
            <w:hideMark/>
          </w:tcPr>
          <w:p w:rsidR="00B3570A" w:rsidRPr="00B3570A" w:rsidRDefault="00B3570A" w:rsidP="00B3570A">
            <w:pPr>
              <w:jc w:val="center"/>
              <w:rPr>
                <w:rFonts w:ascii="Arial" w:hAnsi="Arial" w:cs="Arial"/>
                <w:color w:val="000000"/>
                <w:sz w:val="22"/>
                <w:szCs w:val="22"/>
                <w:lang w:eastAsia="es-CR"/>
              </w:rPr>
            </w:pPr>
            <w:r w:rsidRPr="00B3570A">
              <w:rPr>
                <w:rFonts w:ascii="Arial" w:hAnsi="Arial" w:cs="Arial"/>
                <w:sz w:val="22"/>
                <w:szCs w:val="22"/>
                <w:lang w:eastAsia="es-CR"/>
              </w:rPr>
              <w:t>100%</w:t>
            </w:r>
          </w:p>
        </w:tc>
        <w:tc>
          <w:tcPr>
            <w:tcW w:w="338" w:type="pct"/>
            <w:tcBorders>
              <w:top w:val="nil"/>
              <w:left w:val="nil"/>
              <w:bottom w:val="single" w:sz="4" w:space="0" w:color="auto"/>
              <w:right w:val="single" w:sz="4" w:space="0" w:color="auto"/>
            </w:tcBorders>
            <w:shd w:val="clear" w:color="auto" w:fill="auto"/>
            <w:noWrap/>
            <w:vAlign w:val="center"/>
          </w:tcPr>
          <w:p w:rsidR="00B3570A" w:rsidRPr="00B3570A" w:rsidRDefault="00B3570A" w:rsidP="00B3570A">
            <w:pPr>
              <w:jc w:val="center"/>
              <w:rPr>
                <w:rFonts w:ascii="Arial" w:hAnsi="Arial" w:cs="Arial"/>
                <w:color w:val="000000"/>
                <w:sz w:val="22"/>
                <w:szCs w:val="22"/>
                <w:lang w:eastAsia="es-CR"/>
              </w:rPr>
            </w:pPr>
            <w:r w:rsidRPr="00B3570A">
              <w:rPr>
                <w:rFonts w:ascii="Arial" w:hAnsi="Arial" w:cs="Arial"/>
                <w:sz w:val="22"/>
                <w:szCs w:val="22"/>
                <w:lang w:eastAsia="es-CR"/>
              </w:rPr>
              <w:t>12</w:t>
            </w:r>
          </w:p>
        </w:tc>
        <w:tc>
          <w:tcPr>
            <w:tcW w:w="337" w:type="pct"/>
            <w:tcBorders>
              <w:top w:val="nil"/>
              <w:left w:val="nil"/>
              <w:bottom w:val="single" w:sz="4" w:space="0" w:color="auto"/>
              <w:right w:val="single" w:sz="4" w:space="0" w:color="auto"/>
            </w:tcBorders>
            <w:shd w:val="clear" w:color="auto" w:fill="auto"/>
            <w:noWrap/>
            <w:vAlign w:val="center"/>
          </w:tcPr>
          <w:p w:rsidR="00B3570A" w:rsidRPr="00B3570A" w:rsidRDefault="00B3570A" w:rsidP="00B3570A">
            <w:pPr>
              <w:jc w:val="center"/>
              <w:rPr>
                <w:rFonts w:ascii="Arial" w:hAnsi="Arial" w:cs="Arial"/>
                <w:color w:val="000000"/>
                <w:sz w:val="22"/>
                <w:szCs w:val="22"/>
                <w:lang w:eastAsia="es-CR"/>
              </w:rPr>
            </w:pPr>
            <w:r w:rsidRPr="00B3570A">
              <w:rPr>
                <w:rFonts w:ascii="Arial" w:hAnsi="Arial" w:cs="Arial"/>
                <w:sz w:val="22"/>
                <w:szCs w:val="22"/>
                <w:lang w:eastAsia="es-CR"/>
              </w:rPr>
              <w:t>1,00</w:t>
            </w:r>
          </w:p>
        </w:tc>
        <w:tc>
          <w:tcPr>
            <w:tcW w:w="539" w:type="pct"/>
            <w:tcBorders>
              <w:top w:val="nil"/>
              <w:left w:val="nil"/>
              <w:bottom w:val="single" w:sz="4" w:space="0" w:color="auto"/>
              <w:right w:val="single" w:sz="4" w:space="0" w:color="auto"/>
            </w:tcBorders>
            <w:shd w:val="clear" w:color="auto" w:fill="auto"/>
            <w:noWrap/>
            <w:vAlign w:val="center"/>
          </w:tcPr>
          <w:p w:rsidR="00B3570A" w:rsidRPr="00B3570A" w:rsidRDefault="00B3570A" w:rsidP="00B3570A">
            <w:pPr>
              <w:jc w:val="center"/>
              <w:rPr>
                <w:rFonts w:ascii="Arial" w:hAnsi="Arial" w:cs="Arial"/>
                <w:color w:val="000000"/>
                <w:sz w:val="22"/>
                <w:szCs w:val="22"/>
                <w:lang w:eastAsia="es-CR"/>
              </w:rPr>
            </w:pPr>
            <w:r w:rsidRPr="00B3570A">
              <w:rPr>
                <w:rFonts w:ascii="Arial" w:hAnsi="Arial" w:cs="Arial"/>
                <w:sz w:val="22"/>
                <w:szCs w:val="22"/>
                <w:lang w:eastAsia="es-CR"/>
              </w:rPr>
              <w:t>Temporal</w:t>
            </w:r>
          </w:p>
        </w:tc>
        <w:tc>
          <w:tcPr>
            <w:tcW w:w="675" w:type="pct"/>
            <w:tcBorders>
              <w:top w:val="nil"/>
              <w:left w:val="nil"/>
              <w:bottom w:val="single" w:sz="4" w:space="0" w:color="auto"/>
              <w:right w:val="single" w:sz="4" w:space="0" w:color="auto"/>
            </w:tcBorders>
            <w:shd w:val="clear" w:color="auto" w:fill="auto"/>
            <w:noWrap/>
            <w:vAlign w:val="center"/>
          </w:tcPr>
          <w:p w:rsidR="00B3570A" w:rsidRPr="00B3570A" w:rsidRDefault="00B3570A" w:rsidP="00B3570A">
            <w:pPr>
              <w:jc w:val="center"/>
              <w:rPr>
                <w:rFonts w:ascii="Arial" w:hAnsi="Arial" w:cs="Arial"/>
                <w:color w:val="000000"/>
                <w:sz w:val="22"/>
                <w:szCs w:val="22"/>
                <w:lang w:eastAsia="es-CR"/>
              </w:rPr>
            </w:pPr>
            <w:r w:rsidRPr="00B3570A">
              <w:rPr>
                <w:rFonts w:ascii="Arial" w:hAnsi="Arial" w:cs="Arial"/>
                <w:color w:val="000000"/>
                <w:sz w:val="22"/>
                <w:szCs w:val="22"/>
                <w:lang w:eastAsia="es-CR"/>
              </w:rPr>
              <w:t>Vicerrectoría de Docencia</w:t>
            </w:r>
          </w:p>
        </w:tc>
        <w:tc>
          <w:tcPr>
            <w:tcW w:w="809" w:type="pct"/>
            <w:tcBorders>
              <w:top w:val="single" w:sz="4" w:space="0" w:color="auto"/>
              <w:left w:val="nil"/>
              <w:bottom w:val="single" w:sz="4" w:space="0" w:color="auto"/>
            </w:tcBorders>
            <w:shd w:val="clear" w:color="auto" w:fill="auto"/>
            <w:noWrap/>
            <w:vAlign w:val="center"/>
          </w:tcPr>
          <w:p w:rsidR="00B3570A" w:rsidRPr="00B3570A" w:rsidRDefault="00B3570A" w:rsidP="00B3570A">
            <w:pPr>
              <w:jc w:val="center"/>
              <w:rPr>
                <w:rFonts w:ascii="Arial" w:hAnsi="Arial" w:cs="Arial"/>
                <w:color w:val="000000"/>
                <w:sz w:val="22"/>
                <w:szCs w:val="22"/>
                <w:lang w:eastAsia="es-CR"/>
              </w:rPr>
            </w:pPr>
            <w:r w:rsidRPr="00B3570A">
              <w:rPr>
                <w:rFonts w:ascii="Arial" w:hAnsi="Arial" w:cs="Arial"/>
                <w:color w:val="000000"/>
                <w:sz w:val="22"/>
                <w:szCs w:val="22"/>
                <w:lang w:eastAsia="es-CR"/>
              </w:rPr>
              <w:t>Destacada en la OPI para los sistemas de del PMI</w:t>
            </w:r>
          </w:p>
        </w:tc>
        <w:tc>
          <w:tcPr>
            <w:tcW w:w="76" w:type="pct"/>
            <w:tcBorders>
              <w:left w:val="nil"/>
            </w:tcBorders>
            <w:vAlign w:val="center"/>
          </w:tcPr>
          <w:p w:rsidR="00B3570A" w:rsidRPr="00B3570A" w:rsidRDefault="00B3570A" w:rsidP="00B3570A">
            <w:pPr>
              <w:jc w:val="center"/>
              <w:rPr>
                <w:rFonts w:ascii="Arial" w:hAnsi="Arial" w:cs="Arial"/>
                <w:sz w:val="22"/>
                <w:szCs w:val="22"/>
              </w:rPr>
            </w:pPr>
          </w:p>
        </w:tc>
      </w:tr>
    </w:tbl>
    <w:p w:rsidR="00B3570A" w:rsidRPr="00B3570A" w:rsidRDefault="00B3570A" w:rsidP="00B3570A">
      <w:pPr>
        <w:rPr>
          <w:sz w:val="6"/>
        </w:rPr>
      </w:pPr>
    </w:p>
    <w:p w:rsidR="008D187C" w:rsidRDefault="008D187C" w:rsidP="007742A1">
      <w:pPr>
        <w:jc w:val="both"/>
        <w:rPr>
          <w:rFonts w:ascii="Arial" w:eastAsia="Cambria" w:hAnsi="Arial" w:cs="Arial"/>
          <w:lang w:val="es-ES_tradnl" w:eastAsia="en-US"/>
        </w:rPr>
      </w:pPr>
    </w:p>
    <w:p w:rsidR="00215C41" w:rsidRPr="00F41610" w:rsidRDefault="00BB6A5E" w:rsidP="00B3570A">
      <w:pPr>
        <w:numPr>
          <w:ilvl w:val="0"/>
          <w:numId w:val="12"/>
        </w:numPr>
        <w:ind w:left="284"/>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F41610" w:rsidRDefault="00F41610" w:rsidP="00F41610">
      <w:pPr>
        <w:autoSpaceDE w:val="0"/>
        <w:autoSpaceDN w:val="0"/>
        <w:adjustRightInd w:val="0"/>
        <w:jc w:val="both"/>
        <w:rPr>
          <w:rFonts w:ascii="Arial" w:hAnsi="Arial" w:cs="Arial"/>
          <w:b/>
          <w:lang w:val="es-CR"/>
        </w:rPr>
      </w:pPr>
    </w:p>
    <w:p w:rsidR="00F41610" w:rsidRPr="00A50190" w:rsidRDefault="00F41610" w:rsidP="00F41610">
      <w:pPr>
        <w:autoSpaceDE w:val="0"/>
        <w:autoSpaceDN w:val="0"/>
        <w:adjustRightInd w:val="0"/>
        <w:jc w:val="both"/>
        <w:rPr>
          <w:rFonts w:ascii="Arial" w:hAnsi="Arial" w:cs="Arial"/>
        </w:rPr>
      </w:pPr>
    </w:p>
    <w:p w:rsidR="00B3570A" w:rsidRPr="00B3570A" w:rsidRDefault="00B3570A" w:rsidP="00B3570A">
      <w:pPr>
        <w:tabs>
          <w:tab w:val="left" w:pos="760"/>
        </w:tabs>
        <w:spacing w:line="276" w:lineRule="auto"/>
        <w:jc w:val="both"/>
        <w:rPr>
          <w:rFonts w:ascii="Arial" w:hAnsi="Arial" w:cs="Arial"/>
          <w:b/>
          <w:sz w:val="22"/>
          <w:szCs w:val="22"/>
        </w:rPr>
      </w:pPr>
      <w:r w:rsidRPr="00B3570A">
        <w:rPr>
          <w:rFonts w:ascii="Arial" w:hAnsi="Arial" w:cs="Arial"/>
          <w:b/>
          <w:sz w:val="22"/>
          <w:szCs w:val="22"/>
        </w:rPr>
        <w:t>Palabras clave:</w:t>
      </w:r>
      <w:r w:rsidRPr="00B3570A">
        <w:rPr>
          <w:rFonts w:ascii="Arial" w:hAnsi="Arial" w:cs="Arial"/>
          <w:b/>
          <w:sz w:val="22"/>
          <w:szCs w:val="22"/>
        </w:rPr>
        <w:tab/>
        <w:t xml:space="preserve"> Ampliación – </w:t>
      </w:r>
      <w:proofErr w:type="gramStart"/>
      <w:r w:rsidRPr="00B3570A">
        <w:rPr>
          <w:rFonts w:ascii="Arial" w:hAnsi="Arial" w:cs="Arial"/>
          <w:b/>
          <w:sz w:val="22"/>
          <w:szCs w:val="22"/>
        </w:rPr>
        <w:t>nombramiento  –</w:t>
      </w:r>
      <w:proofErr w:type="gramEnd"/>
      <w:r w:rsidRPr="00B3570A">
        <w:rPr>
          <w:rFonts w:ascii="Arial" w:hAnsi="Arial" w:cs="Arial"/>
          <w:b/>
          <w:sz w:val="22"/>
          <w:szCs w:val="22"/>
        </w:rPr>
        <w:t xml:space="preserve"> plaza -  FSBM-0012 </w:t>
      </w:r>
    </w:p>
    <w:p w:rsidR="00A7618F" w:rsidRPr="00B3570A" w:rsidRDefault="00A7618F" w:rsidP="00B3570A">
      <w:pPr>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F7" w:rsidRDefault="000726F7">
      <w:r>
        <w:separator/>
      </w:r>
    </w:p>
  </w:endnote>
  <w:endnote w:type="continuationSeparator" w:id="0">
    <w:p w:rsidR="000726F7" w:rsidRDefault="0007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F7" w:rsidRDefault="000726F7">
      <w:r>
        <w:separator/>
      </w:r>
    </w:p>
  </w:footnote>
  <w:footnote w:type="continuationSeparator" w:id="0">
    <w:p w:rsidR="000726F7" w:rsidRDefault="0007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309</w:t>
    </w:r>
    <w:r w:rsidR="00F17B4F">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w:t>
    </w:r>
    <w:r w:rsidR="00B3570A">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D241E">
      <w:rPr>
        <w:rFonts w:ascii="Arial" w:eastAsia="Cambria" w:hAnsi="Arial" w:cs="Arial"/>
        <w:i/>
        <w:sz w:val="18"/>
        <w:szCs w:val="18"/>
        <w:lang w:val="es-ES_tradnl" w:eastAsia="x-none"/>
      </w:rPr>
      <w:t>2</w:t>
    </w:r>
    <w:r w:rsidR="00F17B4F">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E1D8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B977B2"/>
    <w:multiLevelType w:val="hybridMultilevel"/>
    <w:tmpl w:val="1A84941C"/>
    <w:lvl w:ilvl="0" w:tplc="96AAA10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92B7E6B"/>
    <w:multiLevelType w:val="multilevel"/>
    <w:tmpl w:val="496034B2"/>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2882E51"/>
    <w:multiLevelType w:val="hybridMultilevel"/>
    <w:tmpl w:val="C2ACC270"/>
    <w:lvl w:ilvl="0" w:tplc="BD3AE73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7"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12"/>
  </w:num>
  <w:num w:numId="3">
    <w:abstractNumId w:val="13"/>
  </w:num>
  <w:num w:numId="4">
    <w:abstractNumId w:val="0"/>
  </w:num>
  <w:num w:numId="5">
    <w:abstractNumId w:val="11"/>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9"/>
  </w:num>
  <w:num w:numId="11">
    <w:abstractNumId w:val="4"/>
  </w:num>
  <w:num w:numId="12">
    <w:abstractNumId w:val="5"/>
  </w:num>
  <w:num w:numId="13">
    <w:abstractNumId w:val="2"/>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26F7"/>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5CA"/>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03D0"/>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1895"/>
    <w:rsid w:val="0061239A"/>
    <w:rsid w:val="00612C0F"/>
    <w:rsid w:val="006133E5"/>
    <w:rsid w:val="0061481F"/>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10A"/>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350D"/>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570A"/>
    <w:rsid w:val="00B36A6C"/>
    <w:rsid w:val="00B40B55"/>
    <w:rsid w:val="00B412E2"/>
    <w:rsid w:val="00B415F0"/>
    <w:rsid w:val="00B421BD"/>
    <w:rsid w:val="00B429A5"/>
    <w:rsid w:val="00B4627C"/>
    <w:rsid w:val="00B47959"/>
    <w:rsid w:val="00B500C3"/>
    <w:rsid w:val="00B50885"/>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5F1C"/>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1D8B"/>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17B4F"/>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AB215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paragraph" w:styleId="Subttulo">
    <w:name w:val="Subtitle"/>
    <w:basedOn w:val="Normal"/>
    <w:link w:val="SubttuloCar"/>
    <w:qFormat/>
    <w:rsid w:val="00B3570A"/>
    <w:pPr>
      <w:numPr>
        <w:numId w:val="11"/>
      </w:numPr>
      <w:jc w:val="center"/>
    </w:pPr>
    <w:rPr>
      <w:b/>
      <w:bCs/>
      <w:color w:val="003300"/>
      <w:sz w:val="32"/>
    </w:rPr>
  </w:style>
  <w:style w:type="character" w:customStyle="1" w:styleId="SubttuloCar">
    <w:name w:val="Subtítulo Car"/>
    <w:basedOn w:val="Fuentedeprrafopredeter"/>
    <w:link w:val="Subttulo"/>
    <w:rsid w:val="00B3570A"/>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4FBB-8FEE-4BB5-BDC8-C1F1BDB7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1425</Words>
  <Characters>8010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87</cp:revision>
  <cp:lastPrinted>2018-11-29T14:41:00Z</cp:lastPrinted>
  <dcterms:created xsi:type="dcterms:W3CDTF">2018-05-02T21:37:00Z</dcterms:created>
  <dcterms:modified xsi:type="dcterms:W3CDTF">2018-11-29T14:44:00Z</dcterms:modified>
</cp:coreProperties>
</file>