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bookmarkStart w:id="0" w:name="_GoBack"/>
      <w:bookmarkEnd w:id="0"/>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16744E">
        <w:rPr>
          <w:rFonts w:ascii="Arial" w:hAnsi="Arial" w:cs="Arial"/>
          <w:b/>
          <w:bCs/>
          <w:iCs/>
          <w:sz w:val="26"/>
          <w:szCs w:val="22"/>
          <w:lang w:val="es-CR"/>
        </w:rPr>
        <w:t>1051</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F52439"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w:t>
            </w:r>
            <w:r w:rsidR="00234C79">
              <w:rPr>
                <w:rFonts w:ascii="Arial" w:eastAsia="Cambria" w:hAnsi="Arial" w:cs="Arial"/>
                <w:sz w:val="22"/>
                <w:szCs w:val="22"/>
                <w:lang w:val="es-ES_tradnl" w:eastAsia="en-US"/>
              </w:rPr>
              <w:t xml:space="preserve">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9E13E5" w:rsidRDefault="009E13E5"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Humberto Villalta Solano, Vicerrector de Administración</w:t>
            </w:r>
          </w:p>
          <w:p w:rsidR="00234C79" w:rsidRDefault="00234C79"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Licda. Kathya Calderón Mora, Directora Departamento Aprovisionamiento</w:t>
            </w:r>
          </w:p>
          <w:p w:rsidR="004C17A5" w:rsidRPr="00D51E87" w:rsidRDefault="004C17A5" w:rsidP="004C17A5">
            <w:pPr>
              <w:ind w:left="30" w:hanging="30"/>
              <w:jc w:val="both"/>
              <w:rPr>
                <w:rFonts w:ascii="Arial" w:hAnsi="Arial" w:cs="Arial"/>
                <w:sz w:val="22"/>
                <w:szCs w:val="22"/>
                <w:lang w:val="es-CR"/>
              </w:rPr>
            </w:pPr>
            <w:r w:rsidRPr="00D51E87">
              <w:rPr>
                <w:rFonts w:ascii="Arial" w:hAnsi="Arial" w:cs="Arial"/>
                <w:sz w:val="22"/>
                <w:szCs w:val="22"/>
                <w:lang w:val="es-CR"/>
              </w:rPr>
              <w:t>Licda. Silvia Watson Araya, Directora del Departamento Financiero Contable</w:t>
            </w:r>
          </w:p>
          <w:p w:rsidR="004C17A5" w:rsidRPr="00D51E87" w:rsidRDefault="004C17A5" w:rsidP="004C17A5">
            <w:pPr>
              <w:ind w:left="30" w:hanging="30"/>
              <w:jc w:val="both"/>
              <w:rPr>
                <w:rFonts w:ascii="Arial" w:hAnsi="Arial" w:cs="Arial"/>
                <w:sz w:val="22"/>
                <w:szCs w:val="22"/>
                <w:lang w:val="es-CR"/>
              </w:rPr>
            </w:pPr>
            <w:r w:rsidRPr="00D51E87">
              <w:rPr>
                <w:rFonts w:ascii="Arial" w:hAnsi="Arial" w:cs="Arial"/>
                <w:sz w:val="22"/>
                <w:szCs w:val="22"/>
                <w:lang w:val="es-CR"/>
              </w:rPr>
              <w:t>Lic. Isidro Álvarez Salazar, Auditor Interno</w:t>
            </w:r>
          </w:p>
          <w:p w:rsidR="00BE62EA" w:rsidRPr="004C17A5" w:rsidRDefault="00BE62EA" w:rsidP="00234C79">
            <w:pPr>
              <w:jc w:val="both"/>
              <w:rPr>
                <w:rFonts w:ascii="Arial" w:eastAsia="Cambria" w:hAnsi="Arial" w:cs="Arial"/>
                <w:sz w:val="22"/>
                <w:szCs w:val="22"/>
                <w:lang w:val="es-CR"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CF4A51"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w:t>
            </w:r>
            <w:r w:rsidR="00234C79">
              <w:rPr>
                <w:rFonts w:ascii="Arial" w:eastAsia="Cambria" w:hAnsi="Arial" w:cs="Arial"/>
                <w:sz w:val="22"/>
                <w:szCs w:val="22"/>
                <w:lang w:val="es-ES_tradnl" w:eastAsia="en-US"/>
              </w:rPr>
              <w:t xml:space="preserve"> Julio Calvo Alvarado</w:t>
            </w:r>
            <w:r w:rsidR="008D7E9D"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Presidente</w:t>
            </w:r>
            <w:r w:rsidR="003A263A">
              <w:rPr>
                <w:rFonts w:ascii="Arial" w:eastAsia="Cambria" w:hAnsi="Arial" w:cs="Arial"/>
                <w:sz w:val="22"/>
                <w:szCs w:val="22"/>
                <w:lang w:val="es-ES_tradnl" w:eastAsia="en-US"/>
              </w:rPr>
              <w:t xml:space="preserve"> </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234C79"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05</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dic</w:t>
            </w:r>
            <w:r w:rsidR="00BE62EA">
              <w:rPr>
                <w:rFonts w:ascii="Arial" w:eastAsia="Cambria" w:hAnsi="Arial" w:cs="Arial"/>
                <w:b/>
                <w:sz w:val="22"/>
                <w:szCs w:val="22"/>
                <w:lang w:val="es-ES_tradnl" w:eastAsia="en-US"/>
              </w:rPr>
              <w:t>iem</w:t>
            </w:r>
            <w:r w:rsidR="00D76019">
              <w:rPr>
                <w:rFonts w:ascii="Arial" w:eastAsia="Cambria" w:hAnsi="Arial" w:cs="Arial"/>
                <w:b/>
                <w:sz w:val="22"/>
                <w:szCs w:val="22"/>
                <w:lang w:val="es-ES_tradnl" w:eastAsia="en-US"/>
              </w:rPr>
              <w:t xml:space="preserve">bre </w:t>
            </w:r>
            <w:r w:rsidR="007742A1" w:rsidRPr="008E0D8C">
              <w:rPr>
                <w:rFonts w:ascii="Arial" w:eastAsia="Cambria" w:hAnsi="Arial" w:cs="Arial"/>
                <w:b/>
                <w:sz w:val="22"/>
                <w:szCs w:val="22"/>
                <w:lang w:val="es-ES_tradnl" w:eastAsia="en-US"/>
              </w:rPr>
              <w:t>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C12C6" w:rsidRDefault="00FF209C" w:rsidP="004C17A5">
            <w:pPr>
              <w:ind w:left="30" w:hanging="30"/>
              <w:jc w:val="both"/>
              <w:rPr>
                <w:rFonts w:ascii="Arial" w:hAnsi="Arial" w:cs="Arial"/>
                <w:b/>
                <w:lang w:val="es-ES_tradnl" w:eastAsia="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234C79">
              <w:rPr>
                <w:rFonts w:ascii="Arial" w:eastAsia="Calibri" w:hAnsi="Arial" w:cs="Arial"/>
                <w:b/>
                <w:sz w:val="22"/>
                <w:szCs w:val="22"/>
              </w:rPr>
              <w:t>100</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4C17A5">
              <w:rPr>
                <w:rFonts w:ascii="Arial" w:eastAsia="Calibri" w:hAnsi="Arial" w:cs="Arial"/>
                <w:b/>
                <w:sz w:val="22"/>
                <w:szCs w:val="22"/>
              </w:rPr>
              <w:t>12</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 </w:t>
            </w:r>
            <w:r w:rsidR="00234C79">
              <w:rPr>
                <w:rFonts w:ascii="Arial" w:eastAsia="Calibri" w:hAnsi="Arial" w:cs="Arial"/>
                <w:b/>
                <w:sz w:val="22"/>
                <w:szCs w:val="22"/>
              </w:rPr>
              <w:t>05</w:t>
            </w:r>
            <w:r w:rsidR="00BE62EA">
              <w:rPr>
                <w:rFonts w:ascii="Arial" w:eastAsia="Calibri" w:hAnsi="Arial" w:cs="Arial"/>
                <w:b/>
                <w:sz w:val="22"/>
                <w:szCs w:val="22"/>
              </w:rPr>
              <w:t xml:space="preserve"> de </w:t>
            </w:r>
            <w:r w:rsidR="00234C79">
              <w:rPr>
                <w:rFonts w:ascii="Arial" w:eastAsia="Calibri" w:hAnsi="Arial" w:cs="Arial"/>
                <w:b/>
                <w:sz w:val="22"/>
                <w:szCs w:val="22"/>
              </w:rPr>
              <w:t>dic</w:t>
            </w:r>
            <w:r w:rsidR="00BE62EA">
              <w:rPr>
                <w:rFonts w:ascii="Arial" w:eastAsia="Calibri" w:hAnsi="Arial" w:cs="Arial"/>
                <w:b/>
                <w:sz w:val="22"/>
                <w:szCs w:val="22"/>
              </w:rPr>
              <w:t xml:space="preserve">iembre </w:t>
            </w:r>
            <w:r w:rsidR="00A772EF" w:rsidRPr="008F0835">
              <w:rPr>
                <w:rFonts w:ascii="Arial" w:eastAsia="Calibri" w:hAnsi="Arial" w:cs="Arial"/>
                <w:b/>
                <w:sz w:val="22"/>
                <w:szCs w:val="22"/>
              </w:rPr>
              <w:t>de 201</w:t>
            </w:r>
            <w:r w:rsidR="003B6DC0" w:rsidRPr="008F0835">
              <w:rPr>
                <w:rFonts w:ascii="Arial" w:eastAsia="Calibri" w:hAnsi="Arial" w:cs="Arial"/>
                <w:b/>
                <w:sz w:val="22"/>
                <w:szCs w:val="22"/>
              </w:rPr>
              <w:t>8</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3A263A" w:rsidRPr="003A263A">
              <w:rPr>
                <w:rFonts w:ascii="Arial" w:hAnsi="Arial" w:cs="Arial"/>
                <w:b/>
                <w:color w:val="000000"/>
                <w:sz w:val="22"/>
                <w:szCs w:val="22"/>
              </w:rPr>
              <w:t xml:space="preserve"> </w:t>
            </w:r>
            <w:r w:rsidR="00234C79" w:rsidRPr="00234C79">
              <w:rPr>
                <w:rFonts w:ascii="Arial" w:eastAsia="Calibri" w:hAnsi="Arial" w:cs="Arial"/>
                <w:b/>
                <w:bCs/>
                <w:sz w:val="22"/>
                <w:szCs w:val="22"/>
                <w:lang w:val="es-CR" w:eastAsia="en-US"/>
              </w:rPr>
              <w:t>Licitación Abreviada Nº 2018LA-000028-APITCR, “Servicio de Auditoría Externa Periodo 2018”</w:t>
            </w:r>
            <w:r w:rsidR="00234C79" w:rsidRPr="00234C79">
              <w:rPr>
                <w:rFonts w:ascii="Arial" w:eastAsia="Calibri" w:hAnsi="Arial" w:cs="Arial"/>
                <w:bCs/>
                <w:i/>
                <w:sz w:val="22"/>
                <w:szCs w:val="22"/>
                <w:lang w:val="es-CR" w:eastAsia="en-US"/>
              </w:rPr>
              <w:t>.</w:t>
            </w:r>
          </w:p>
        </w:tc>
      </w:tr>
    </w:tbl>
    <w:p w:rsidR="00FF209C" w:rsidRPr="00524A7F" w:rsidRDefault="00FF209C" w:rsidP="007742A1">
      <w:pPr>
        <w:jc w:val="both"/>
        <w:rPr>
          <w:rFonts w:ascii="Arial" w:eastAsia="Cambria" w:hAnsi="Arial" w:cs="Arial"/>
          <w:lang w:val="es-CR"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4C17A5" w:rsidRDefault="004C17A5" w:rsidP="007742A1">
      <w:pPr>
        <w:jc w:val="both"/>
        <w:rPr>
          <w:rFonts w:ascii="Arial" w:eastAsia="Cambria" w:hAnsi="Arial" w:cs="Arial"/>
          <w:lang w:val="es-ES_tradnl" w:eastAsia="en-US"/>
        </w:rPr>
      </w:pPr>
    </w:p>
    <w:p w:rsidR="004C17A5" w:rsidRPr="004C17A5" w:rsidRDefault="004C17A5" w:rsidP="004C17A5">
      <w:pPr>
        <w:jc w:val="both"/>
        <w:outlineLvl w:val="0"/>
        <w:rPr>
          <w:rFonts w:ascii="Arial" w:hAnsi="Arial" w:cs="Arial"/>
          <w:b/>
          <w:sz w:val="22"/>
          <w:szCs w:val="22"/>
        </w:rPr>
      </w:pPr>
      <w:r w:rsidRPr="004C17A5">
        <w:rPr>
          <w:rFonts w:ascii="Arial" w:hAnsi="Arial" w:cs="Arial"/>
          <w:b/>
          <w:sz w:val="22"/>
          <w:szCs w:val="22"/>
        </w:rPr>
        <w:t>RESULTANDO QUE:</w:t>
      </w:r>
    </w:p>
    <w:p w:rsidR="004C17A5" w:rsidRPr="004C17A5" w:rsidRDefault="004C17A5" w:rsidP="004C17A5">
      <w:pPr>
        <w:ind w:left="1276" w:hanging="1276"/>
        <w:jc w:val="both"/>
        <w:rPr>
          <w:rFonts w:ascii="Arial" w:eastAsia="MS Mincho" w:hAnsi="Arial" w:cs="Arial"/>
          <w:b/>
          <w:iCs/>
          <w:sz w:val="20"/>
          <w:szCs w:val="20"/>
          <w:lang w:val="es-CR"/>
        </w:rPr>
      </w:pPr>
    </w:p>
    <w:p w:rsidR="004C17A5" w:rsidRPr="004C17A5" w:rsidRDefault="004C17A5" w:rsidP="004C17A5">
      <w:pPr>
        <w:numPr>
          <w:ilvl w:val="0"/>
          <w:numId w:val="24"/>
        </w:numPr>
        <w:tabs>
          <w:tab w:val="left" w:pos="0"/>
        </w:tabs>
        <w:ind w:left="392"/>
        <w:contextualSpacing/>
        <w:jc w:val="both"/>
        <w:outlineLvl w:val="0"/>
        <w:rPr>
          <w:rFonts w:ascii="Arial" w:hAnsi="Arial" w:cs="Arial"/>
          <w:bCs/>
          <w:lang w:val="es-CR"/>
        </w:rPr>
      </w:pPr>
      <w:r w:rsidRPr="004C17A5">
        <w:rPr>
          <w:rFonts w:ascii="Arial" w:hAnsi="Arial" w:cs="Arial"/>
          <w:bCs/>
          <w:lang w:val="es-CR"/>
        </w:rPr>
        <w:t>El Artículo 18, inciso h del Estatuto Orgánico del Instituto Tecnológico de Costa Rica, señala:</w:t>
      </w:r>
    </w:p>
    <w:p w:rsidR="004C17A5" w:rsidRPr="004C17A5" w:rsidRDefault="004C17A5" w:rsidP="004C17A5">
      <w:pPr>
        <w:tabs>
          <w:tab w:val="left" w:pos="0"/>
          <w:tab w:val="center" w:pos="4986"/>
        </w:tabs>
        <w:ind w:left="567"/>
        <w:contextualSpacing/>
        <w:jc w:val="both"/>
        <w:outlineLvl w:val="0"/>
        <w:rPr>
          <w:rFonts w:ascii="Verdana" w:hAnsi="Verdana"/>
          <w:color w:val="4682B4"/>
          <w:sz w:val="20"/>
          <w:szCs w:val="20"/>
          <w:lang w:val="es-CR"/>
        </w:rPr>
      </w:pPr>
    </w:p>
    <w:p w:rsidR="004C17A5" w:rsidRPr="004C17A5" w:rsidRDefault="004C17A5" w:rsidP="004C17A5">
      <w:pPr>
        <w:tabs>
          <w:tab w:val="left" w:pos="709"/>
          <w:tab w:val="center" w:pos="4986"/>
        </w:tabs>
        <w:ind w:left="851" w:hanging="142"/>
        <w:contextualSpacing/>
        <w:jc w:val="both"/>
        <w:outlineLvl w:val="0"/>
        <w:rPr>
          <w:rFonts w:ascii="Arial" w:hAnsi="Arial" w:cs="Arial"/>
          <w:i/>
          <w:sz w:val="22"/>
          <w:szCs w:val="22"/>
          <w:lang w:val="es-CR"/>
        </w:rPr>
      </w:pPr>
      <w:r w:rsidRPr="004C17A5">
        <w:rPr>
          <w:rFonts w:ascii="Arial" w:hAnsi="Arial" w:cs="Arial"/>
          <w:i/>
          <w:sz w:val="22"/>
          <w:szCs w:val="22"/>
          <w:lang w:val="es-CR"/>
        </w:rPr>
        <w:t>“Son funciones del Consejo Institucional:</w:t>
      </w:r>
    </w:p>
    <w:p w:rsidR="004C17A5" w:rsidRPr="004C17A5" w:rsidRDefault="004C17A5" w:rsidP="004C17A5">
      <w:pPr>
        <w:tabs>
          <w:tab w:val="left" w:pos="709"/>
          <w:tab w:val="center" w:pos="4986"/>
        </w:tabs>
        <w:ind w:left="851"/>
        <w:contextualSpacing/>
        <w:jc w:val="both"/>
        <w:outlineLvl w:val="0"/>
        <w:rPr>
          <w:rFonts w:ascii="Arial" w:hAnsi="Arial" w:cs="Arial"/>
          <w:i/>
          <w:sz w:val="22"/>
          <w:szCs w:val="22"/>
          <w:lang w:val="es-CR"/>
        </w:rPr>
      </w:pPr>
      <w:r w:rsidRPr="004C17A5">
        <w:rPr>
          <w:rFonts w:ascii="Arial" w:hAnsi="Arial" w:cs="Arial"/>
          <w:i/>
          <w:sz w:val="22"/>
          <w:szCs w:val="22"/>
          <w:lang w:val="es-CR"/>
        </w:rPr>
        <w:t>“a…</w:t>
      </w:r>
    </w:p>
    <w:p w:rsidR="004C17A5" w:rsidRPr="004C17A5" w:rsidRDefault="004C17A5" w:rsidP="004C17A5">
      <w:pPr>
        <w:ind w:left="1134" w:right="448" w:hanging="283"/>
        <w:contextualSpacing/>
        <w:jc w:val="both"/>
        <w:outlineLvl w:val="0"/>
        <w:rPr>
          <w:rFonts w:ascii="Arial" w:hAnsi="Arial" w:cs="Arial"/>
          <w:i/>
          <w:sz w:val="22"/>
          <w:szCs w:val="22"/>
          <w:lang w:val="es-CR"/>
        </w:rPr>
      </w:pPr>
      <w:r w:rsidRPr="004C17A5">
        <w:rPr>
          <w:rFonts w:ascii="Arial" w:hAnsi="Arial" w:cs="Arial"/>
          <w:i/>
          <w:sz w:val="22"/>
          <w:szCs w:val="22"/>
          <w:lang w:val="es-CR"/>
        </w:rPr>
        <w:t>h. Decidir sobre las licitaciones públicas según lo estipulado en el reglamento correspondiente”.</w:t>
      </w:r>
    </w:p>
    <w:p w:rsidR="004C17A5" w:rsidRPr="004C17A5" w:rsidRDefault="004C17A5" w:rsidP="004C17A5">
      <w:pPr>
        <w:ind w:left="1134" w:right="448" w:hanging="283"/>
        <w:contextualSpacing/>
        <w:jc w:val="both"/>
        <w:outlineLvl w:val="0"/>
        <w:rPr>
          <w:rFonts w:ascii="Arial" w:hAnsi="Arial" w:cs="Arial"/>
          <w:i/>
          <w:sz w:val="22"/>
          <w:szCs w:val="22"/>
          <w:lang w:val="es-CR"/>
        </w:rPr>
      </w:pPr>
    </w:p>
    <w:p w:rsidR="004C17A5" w:rsidRPr="004C17A5" w:rsidRDefault="004C17A5" w:rsidP="004C17A5">
      <w:pPr>
        <w:numPr>
          <w:ilvl w:val="0"/>
          <w:numId w:val="24"/>
        </w:numPr>
        <w:tabs>
          <w:tab w:val="left" w:pos="0"/>
        </w:tabs>
        <w:ind w:left="392"/>
        <w:contextualSpacing/>
        <w:jc w:val="both"/>
        <w:outlineLvl w:val="0"/>
        <w:rPr>
          <w:rFonts w:ascii="Arial" w:hAnsi="Arial" w:cs="Arial"/>
        </w:rPr>
      </w:pPr>
      <w:r w:rsidRPr="004C17A5">
        <w:rPr>
          <w:rFonts w:ascii="Arial" w:hAnsi="Arial" w:cs="Arial"/>
        </w:rPr>
        <w:t>El Consejo Institucional, en la Sesión No. 3091, Artículo 10, del 10 de octubre de 2018, aprobó el Cartel para la Contratación de Auditorías Externas Financiera 2018.</w:t>
      </w:r>
    </w:p>
    <w:p w:rsidR="004C17A5" w:rsidRPr="004C17A5" w:rsidRDefault="004C17A5" w:rsidP="004C17A5">
      <w:pPr>
        <w:ind w:left="1134" w:right="448" w:hanging="283"/>
        <w:contextualSpacing/>
        <w:jc w:val="both"/>
        <w:outlineLvl w:val="0"/>
        <w:rPr>
          <w:rFonts w:ascii="Arial" w:hAnsi="Arial" w:cs="Arial"/>
          <w:i/>
          <w:sz w:val="22"/>
          <w:szCs w:val="22"/>
        </w:rPr>
      </w:pPr>
    </w:p>
    <w:p w:rsidR="004C17A5" w:rsidRPr="004C17A5" w:rsidRDefault="004C17A5" w:rsidP="004C17A5">
      <w:pPr>
        <w:jc w:val="both"/>
        <w:outlineLvl w:val="0"/>
        <w:rPr>
          <w:rFonts w:ascii="Arial" w:hAnsi="Arial" w:cs="Arial"/>
          <w:b/>
          <w:sz w:val="22"/>
          <w:szCs w:val="22"/>
        </w:rPr>
      </w:pPr>
      <w:r w:rsidRPr="004C17A5">
        <w:rPr>
          <w:rFonts w:ascii="Arial" w:hAnsi="Arial" w:cs="Arial"/>
          <w:b/>
          <w:sz w:val="22"/>
          <w:szCs w:val="22"/>
        </w:rPr>
        <w:t>CONSIDERANDO QUE:</w:t>
      </w:r>
    </w:p>
    <w:p w:rsidR="004C17A5" w:rsidRPr="004C17A5" w:rsidRDefault="004C17A5" w:rsidP="004C17A5">
      <w:pPr>
        <w:contextualSpacing/>
        <w:jc w:val="both"/>
        <w:outlineLvl w:val="0"/>
        <w:rPr>
          <w:rFonts w:ascii="Arial" w:hAnsi="Arial" w:cs="Arial"/>
          <w:b/>
          <w:sz w:val="16"/>
          <w:szCs w:val="16"/>
        </w:rPr>
      </w:pPr>
      <w:r w:rsidRPr="004C17A5">
        <w:rPr>
          <w:rFonts w:ascii="Arial" w:hAnsi="Arial" w:cs="Arial"/>
          <w:b/>
          <w:sz w:val="16"/>
          <w:szCs w:val="16"/>
        </w:rPr>
        <w:t xml:space="preserve"> </w:t>
      </w:r>
    </w:p>
    <w:p w:rsidR="004C17A5" w:rsidRPr="004C17A5" w:rsidRDefault="004C17A5" w:rsidP="004C17A5">
      <w:pPr>
        <w:numPr>
          <w:ilvl w:val="0"/>
          <w:numId w:val="25"/>
        </w:numPr>
        <w:tabs>
          <w:tab w:val="left" w:pos="0"/>
          <w:tab w:val="center" w:pos="4986"/>
        </w:tabs>
        <w:ind w:left="426"/>
        <w:contextualSpacing/>
        <w:jc w:val="both"/>
        <w:outlineLvl w:val="0"/>
        <w:rPr>
          <w:rFonts w:ascii="Arial" w:hAnsi="Arial" w:cs="Arial"/>
        </w:rPr>
      </w:pPr>
      <w:r w:rsidRPr="004C17A5">
        <w:rPr>
          <w:rFonts w:ascii="Arial" w:hAnsi="Arial" w:cs="Arial"/>
          <w:bCs/>
        </w:rPr>
        <w:t xml:space="preserve">La </w:t>
      </w:r>
      <w:r w:rsidRPr="004C17A5">
        <w:rPr>
          <w:rFonts w:ascii="Arial" w:hAnsi="Arial" w:cs="Arial"/>
          <w:bCs/>
          <w:lang w:val="es-CR"/>
        </w:rPr>
        <w:t>Secretaría</w:t>
      </w:r>
      <w:r w:rsidRPr="004C17A5">
        <w:rPr>
          <w:rFonts w:ascii="Arial" w:hAnsi="Arial" w:cs="Arial"/>
          <w:bCs/>
        </w:rPr>
        <w:t xml:space="preserve"> del Consejo Institucional, recibe oficio VAD-730-2018, con fecha de recibido 20 de noviembre de 2018, suscrito por el Dr. Humberto Villalta Solano, Vicerrector de Administración, dirigido a la </w:t>
      </w:r>
      <w:proofErr w:type="spellStart"/>
      <w:r w:rsidRPr="004C17A5">
        <w:rPr>
          <w:rFonts w:ascii="Arial" w:hAnsi="Arial" w:cs="Arial"/>
          <w:bCs/>
        </w:rPr>
        <w:t>MSc</w:t>
      </w:r>
      <w:proofErr w:type="spellEnd"/>
      <w:r w:rsidRPr="004C17A5">
        <w:rPr>
          <w:rFonts w:ascii="Arial" w:hAnsi="Arial" w:cs="Arial"/>
          <w:bCs/>
        </w:rPr>
        <w:t xml:space="preserve">. Ana Rosa Ruiz Fernández, Coordinadora de la Comisión de Planificación y Administración, con copia a los Miembros del Consejo Institucional, en el cual adjunta el </w:t>
      </w:r>
      <w:r w:rsidRPr="004C17A5">
        <w:rPr>
          <w:rFonts w:ascii="Arial" w:hAnsi="Arial" w:cs="Arial"/>
        </w:rPr>
        <w:t xml:space="preserve">Informe </w:t>
      </w:r>
      <w:r w:rsidRPr="004C17A5">
        <w:rPr>
          <w:rFonts w:ascii="Arial" w:hAnsi="Arial" w:cs="Arial"/>
          <w:bCs/>
        </w:rPr>
        <w:t>de la Licitación Abreviada Nº 2018LA-000028-APITCR, “Servicio de Auditoría Externa Periodo 2018”</w:t>
      </w:r>
      <w:r w:rsidRPr="004C17A5">
        <w:rPr>
          <w:rFonts w:ascii="Arial" w:hAnsi="Arial" w:cs="Arial"/>
        </w:rPr>
        <w:t>. D</w:t>
      </w:r>
      <w:r w:rsidRPr="004C17A5">
        <w:rPr>
          <w:rFonts w:ascii="Arial" w:hAnsi="Arial" w:cs="Arial"/>
          <w:bCs/>
        </w:rPr>
        <w:t>icho documento fue preparado por el Departamento de Aprovisionamiento, según oficio AP-1833-2018, según se transcribe a continuación:</w:t>
      </w:r>
    </w:p>
    <w:p w:rsidR="004C17A5" w:rsidRPr="004C17A5" w:rsidRDefault="004C17A5" w:rsidP="004C17A5">
      <w:pPr>
        <w:keepNext/>
        <w:numPr>
          <w:ilvl w:val="0"/>
          <w:numId w:val="23"/>
        </w:numPr>
        <w:spacing w:before="120" w:after="120"/>
        <w:ind w:left="709" w:hanging="357"/>
        <w:jc w:val="both"/>
        <w:outlineLvl w:val="0"/>
        <w:rPr>
          <w:rFonts w:ascii="Arial" w:hAnsi="Arial" w:cs="Arial"/>
          <w:b/>
          <w:bCs/>
          <w:i/>
          <w:color w:val="0070C0"/>
          <w:kern w:val="32"/>
          <w:sz w:val="22"/>
          <w:szCs w:val="22"/>
        </w:rPr>
      </w:pPr>
      <w:r w:rsidRPr="004C17A5">
        <w:rPr>
          <w:rFonts w:ascii="Arial" w:hAnsi="Arial" w:cs="Arial"/>
          <w:b/>
          <w:bCs/>
          <w:i/>
          <w:color w:val="0070C0"/>
          <w:kern w:val="32"/>
          <w:sz w:val="22"/>
          <w:szCs w:val="22"/>
        </w:rPr>
        <w:t>Bien a adquirir</w:t>
      </w:r>
    </w:p>
    <w:p w:rsidR="004C17A5" w:rsidRPr="004C17A5" w:rsidRDefault="004C17A5" w:rsidP="004C17A5">
      <w:pPr>
        <w:ind w:left="426"/>
        <w:jc w:val="both"/>
        <w:rPr>
          <w:rFonts w:ascii="Arial" w:hAnsi="Arial" w:cs="Arial"/>
          <w:bCs/>
          <w:i/>
          <w:sz w:val="22"/>
          <w:szCs w:val="22"/>
        </w:rPr>
      </w:pPr>
      <w:r w:rsidRPr="004C17A5">
        <w:rPr>
          <w:rFonts w:ascii="Arial" w:hAnsi="Arial" w:cs="Arial"/>
          <w:bCs/>
          <w:i/>
          <w:sz w:val="22"/>
          <w:szCs w:val="22"/>
        </w:rPr>
        <w:t>La Licitación Abreviada Nº 2018LA-000028-APITCR, “Servicio de Auditoría Externa Periodo 2018”, se realizó de manera formal y bajo las disposiciones de la Ley de Contratación Administrativa y su Reglamento.</w:t>
      </w:r>
    </w:p>
    <w:p w:rsidR="004C17A5" w:rsidRPr="004C17A5" w:rsidRDefault="004C17A5" w:rsidP="004C17A5">
      <w:pPr>
        <w:keepNext/>
        <w:numPr>
          <w:ilvl w:val="0"/>
          <w:numId w:val="23"/>
        </w:numPr>
        <w:spacing w:before="120" w:after="120"/>
        <w:ind w:left="709" w:hanging="357"/>
        <w:jc w:val="both"/>
        <w:outlineLvl w:val="0"/>
        <w:rPr>
          <w:rFonts w:ascii="Arial" w:hAnsi="Arial" w:cs="Arial"/>
          <w:b/>
          <w:bCs/>
          <w:i/>
          <w:color w:val="0070C0"/>
          <w:kern w:val="32"/>
          <w:sz w:val="22"/>
          <w:szCs w:val="22"/>
        </w:rPr>
      </w:pPr>
      <w:r w:rsidRPr="004C17A5">
        <w:rPr>
          <w:rFonts w:ascii="Arial" w:hAnsi="Arial" w:cs="Arial"/>
          <w:b/>
          <w:bCs/>
          <w:i/>
          <w:color w:val="0070C0"/>
          <w:kern w:val="32"/>
          <w:sz w:val="22"/>
          <w:szCs w:val="22"/>
        </w:rPr>
        <w:lastRenderedPageBreak/>
        <w:t>Bien a adquirir</w:t>
      </w:r>
    </w:p>
    <w:p w:rsidR="004C17A5" w:rsidRPr="004C17A5" w:rsidRDefault="004C17A5" w:rsidP="004C17A5">
      <w:pPr>
        <w:ind w:left="426"/>
        <w:jc w:val="both"/>
        <w:rPr>
          <w:rFonts w:ascii="Arial" w:hAnsi="Arial" w:cs="Arial"/>
          <w:bCs/>
          <w:i/>
          <w:sz w:val="22"/>
          <w:szCs w:val="22"/>
        </w:rPr>
      </w:pPr>
      <w:r w:rsidRPr="004C17A5">
        <w:rPr>
          <w:rFonts w:ascii="Arial" w:hAnsi="Arial" w:cs="Arial"/>
          <w:bCs/>
          <w:i/>
          <w:sz w:val="22"/>
          <w:szCs w:val="22"/>
        </w:rPr>
        <w:t>Mediante las Solicitudes de compra N° 240819 y 242941 se solicita la contratación de una empresa para que ejecute Servicios de Auditoría Externa 2018 (Véase Folios 001 y 002 del expediente).</w:t>
      </w:r>
    </w:p>
    <w:p w:rsidR="004C17A5" w:rsidRPr="004C17A5" w:rsidRDefault="004C17A5" w:rsidP="004C17A5">
      <w:pPr>
        <w:keepNext/>
        <w:numPr>
          <w:ilvl w:val="0"/>
          <w:numId w:val="23"/>
        </w:numPr>
        <w:spacing w:before="120" w:after="120"/>
        <w:ind w:left="709" w:hanging="357"/>
        <w:jc w:val="both"/>
        <w:outlineLvl w:val="0"/>
        <w:rPr>
          <w:rFonts w:ascii="Arial" w:hAnsi="Arial" w:cs="Arial"/>
          <w:b/>
          <w:bCs/>
          <w:i/>
          <w:color w:val="0070C0"/>
          <w:kern w:val="32"/>
          <w:sz w:val="22"/>
          <w:szCs w:val="22"/>
        </w:rPr>
      </w:pPr>
      <w:r w:rsidRPr="004C17A5">
        <w:rPr>
          <w:rFonts w:ascii="Arial" w:hAnsi="Arial" w:cs="Arial"/>
          <w:b/>
          <w:bCs/>
          <w:i/>
          <w:color w:val="0070C0"/>
          <w:kern w:val="32"/>
          <w:sz w:val="22"/>
          <w:szCs w:val="22"/>
        </w:rPr>
        <w:t>Contenido Presupuestario</w:t>
      </w:r>
    </w:p>
    <w:p w:rsidR="004C17A5" w:rsidRPr="004C17A5" w:rsidRDefault="004C17A5" w:rsidP="004C17A5">
      <w:pPr>
        <w:ind w:left="426"/>
        <w:jc w:val="both"/>
        <w:rPr>
          <w:rFonts w:ascii="Arial" w:hAnsi="Arial" w:cs="Arial"/>
          <w:bCs/>
          <w:i/>
          <w:sz w:val="22"/>
          <w:szCs w:val="22"/>
        </w:rPr>
      </w:pPr>
      <w:r w:rsidRPr="004C17A5">
        <w:rPr>
          <w:rFonts w:ascii="Arial" w:hAnsi="Arial" w:cs="Arial"/>
          <w:bCs/>
          <w:i/>
          <w:sz w:val="22"/>
          <w:szCs w:val="22"/>
        </w:rPr>
        <w:t>Se realizó un compromiso presupuestario de seis millones quinientos cuarenta y dos mil cuatrocientos colones exactos (¢6 525 400,00) según centro funcional 65, correspondiente al Departamento Financiero Contable.</w:t>
      </w:r>
    </w:p>
    <w:p w:rsidR="004C17A5" w:rsidRPr="004C17A5" w:rsidRDefault="004C17A5" w:rsidP="004C17A5">
      <w:pPr>
        <w:keepNext/>
        <w:numPr>
          <w:ilvl w:val="0"/>
          <w:numId w:val="23"/>
        </w:numPr>
        <w:spacing w:before="120" w:after="120"/>
        <w:ind w:left="709" w:hanging="357"/>
        <w:jc w:val="both"/>
        <w:outlineLvl w:val="0"/>
        <w:rPr>
          <w:rFonts w:ascii="Arial" w:hAnsi="Arial" w:cs="Arial"/>
          <w:b/>
          <w:bCs/>
          <w:i/>
          <w:color w:val="0070C0"/>
          <w:kern w:val="32"/>
          <w:sz w:val="22"/>
          <w:szCs w:val="22"/>
        </w:rPr>
      </w:pPr>
      <w:r w:rsidRPr="004C17A5">
        <w:rPr>
          <w:rFonts w:ascii="Arial" w:hAnsi="Arial" w:cs="Arial"/>
          <w:b/>
          <w:bCs/>
          <w:i/>
          <w:color w:val="0070C0"/>
          <w:kern w:val="32"/>
          <w:sz w:val="22"/>
          <w:szCs w:val="22"/>
        </w:rPr>
        <w:t>Invitación y envío de cartel</w:t>
      </w:r>
    </w:p>
    <w:p w:rsidR="004C17A5" w:rsidRPr="004C17A5" w:rsidRDefault="004C17A5" w:rsidP="004C17A5">
      <w:pPr>
        <w:ind w:left="426"/>
        <w:jc w:val="both"/>
        <w:rPr>
          <w:rFonts w:ascii="Arial" w:hAnsi="Arial" w:cs="Arial"/>
          <w:bCs/>
          <w:i/>
          <w:sz w:val="22"/>
          <w:szCs w:val="22"/>
        </w:rPr>
      </w:pPr>
      <w:r w:rsidRPr="004C17A5">
        <w:rPr>
          <w:rFonts w:ascii="Arial" w:hAnsi="Arial" w:cs="Arial"/>
          <w:bCs/>
          <w:i/>
          <w:sz w:val="22"/>
          <w:szCs w:val="22"/>
        </w:rPr>
        <w:t xml:space="preserve">Como parte del proceso de contratación promovido por </w:t>
      </w:r>
      <w:smartTag w:uri="urn:schemas-microsoft-com:office:smarttags" w:element="PersonName">
        <w:smartTagPr>
          <w:attr w:name="ProductID" w:val="la Administraci￳n"/>
        </w:smartTagPr>
        <w:r w:rsidRPr="004C17A5">
          <w:rPr>
            <w:rFonts w:ascii="Arial" w:hAnsi="Arial" w:cs="Arial"/>
            <w:bCs/>
            <w:i/>
            <w:sz w:val="22"/>
            <w:szCs w:val="22"/>
          </w:rPr>
          <w:t>la Administración</w:t>
        </w:r>
      </w:smartTag>
      <w:r w:rsidRPr="004C17A5">
        <w:rPr>
          <w:rFonts w:ascii="Arial" w:hAnsi="Arial" w:cs="Arial"/>
          <w:bCs/>
          <w:i/>
          <w:sz w:val="22"/>
          <w:szCs w:val="22"/>
        </w:rPr>
        <w:t xml:space="preserve"> se invita a participar y se envía el cartel, por medio de correo electrónico a los siguientes proveedores. (Véase Folios del 046 al 045 del expediente).</w:t>
      </w:r>
    </w:p>
    <w:p w:rsidR="004C17A5" w:rsidRPr="004C17A5" w:rsidRDefault="004C17A5" w:rsidP="004C17A5">
      <w:pPr>
        <w:ind w:left="426"/>
        <w:jc w:val="both"/>
        <w:rPr>
          <w:rFonts w:ascii="Arial" w:hAnsi="Arial" w:cs="Arial"/>
          <w:bCs/>
          <w:i/>
          <w:sz w:val="22"/>
          <w:szCs w:val="22"/>
        </w:rPr>
      </w:pPr>
    </w:p>
    <w:p w:rsidR="004C17A5" w:rsidRPr="004C17A5" w:rsidRDefault="004C17A5" w:rsidP="004C17A5">
      <w:pPr>
        <w:numPr>
          <w:ilvl w:val="0"/>
          <w:numId w:val="26"/>
        </w:numPr>
        <w:ind w:left="1134"/>
        <w:rPr>
          <w:rFonts w:ascii="Arial" w:hAnsi="Arial" w:cs="Arial"/>
          <w:i/>
          <w:sz w:val="22"/>
          <w:szCs w:val="22"/>
        </w:rPr>
      </w:pPr>
      <w:proofErr w:type="spellStart"/>
      <w:r w:rsidRPr="004C17A5">
        <w:rPr>
          <w:rFonts w:ascii="Arial" w:hAnsi="Arial" w:cs="Arial"/>
          <w:i/>
          <w:sz w:val="22"/>
          <w:szCs w:val="22"/>
          <w:lang w:eastAsia="es-CR"/>
        </w:rPr>
        <w:t>Deloitte</w:t>
      </w:r>
      <w:proofErr w:type="spellEnd"/>
      <w:r w:rsidRPr="004C17A5">
        <w:rPr>
          <w:rFonts w:ascii="Arial" w:hAnsi="Arial" w:cs="Arial"/>
          <w:i/>
          <w:sz w:val="22"/>
          <w:szCs w:val="22"/>
          <w:lang w:eastAsia="es-CR"/>
        </w:rPr>
        <w:t xml:space="preserve"> &amp; </w:t>
      </w:r>
      <w:proofErr w:type="spellStart"/>
      <w:r w:rsidRPr="004C17A5">
        <w:rPr>
          <w:rFonts w:ascii="Arial" w:hAnsi="Arial" w:cs="Arial"/>
          <w:i/>
          <w:sz w:val="22"/>
          <w:szCs w:val="22"/>
          <w:lang w:eastAsia="es-CR"/>
        </w:rPr>
        <w:t>Touche</w:t>
      </w:r>
      <w:proofErr w:type="spellEnd"/>
      <w:r w:rsidRPr="004C17A5">
        <w:rPr>
          <w:rFonts w:ascii="Arial" w:hAnsi="Arial" w:cs="Arial"/>
          <w:i/>
          <w:sz w:val="22"/>
          <w:szCs w:val="22"/>
          <w:lang w:eastAsia="es-CR"/>
        </w:rPr>
        <w:t xml:space="preserve"> S.A.</w:t>
      </w:r>
    </w:p>
    <w:p w:rsidR="004C17A5" w:rsidRPr="004C17A5" w:rsidRDefault="004C17A5" w:rsidP="004C17A5">
      <w:pPr>
        <w:numPr>
          <w:ilvl w:val="0"/>
          <w:numId w:val="26"/>
        </w:numPr>
        <w:ind w:left="1134"/>
        <w:rPr>
          <w:rFonts w:ascii="Arial" w:hAnsi="Arial" w:cs="Arial"/>
          <w:i/>
          <w:sz w:val="22"/>
          <w:szCs w:val="22"/>
        </w:rPr>
      </w:pPr>
      <w:r w:rsidRPr="004C17A5">
        <w:rPr>
          <w:rFonts w:ascii="Arial" w:hAnsi="Arial" w:cs="Arial"/>
          <w:i/>
          <w:sz w:val="22"/>
          <w:szCs w:val="22"/>
        </w:rPr>
        <w:t>Despacho Carvajal &amp; Colegiados Contadores Públicos Autorizados S.A.</w:t>
      </w:r>
    </w:p>
    <w:p w:rsidR="004C17A5" w:rsidRPr="004C17A5" w:rsidRDefault="004C17A5" w:rsidP="004C17A5">
      <w:pPr>
        <w:numPr>
          <w:ilvl w:val="0"/>
          <w:numId w:val="26"/>
        </w:numPr>
        <w:ind w:left="1134"/>
        <w:rPr>
          <w:rFonts w:ascii="Arial" w:hAnsi="Arial" w:cs="Arial"/>
          <w:i/>
          <w:sz w:val="22"/>
          <w:szCs w:val="22"/>
          <w:lang w:val="en-US"/>
        </w:rPr>
      </w:pPr>
      <w:r w:rsidRPr="004C17A5">
        <w:rPr>
          <w:rFonts w:ascii="Arial" w:hAnsi="Arial" w:cs="Arial"/>
          <w:i/>
          <w:sz w:val="22"/>
          <w:szCs w:val="22"/>
          <w:lang w:val="en-US"/>
        </w:rPr>
        <w:t xml:space="preserve">Crowe </w:t>
      </w:r>
      <w:proofErr w:type="spellStart"/>
      <w:r w:rsidRPr="004C17A5">
        <w:rPr>
          <w:rFonts w:ascii="Arial" w:hAnsi="Arial" w:cs="Arial"/>
          <w:i/>
          <w:sz w:val="22"/>
          <w:szCs w:val="22"/>
          <w:lang w:val="en-US"/>
        </w:rPr>
        <w:t>Horwath</w:t>
      </w:r>
      <w:proofErr w:type="spellEnd"/>
      <w:r w:rsidRPr="004C17A5">
        <w:rPr>
          <w:rFonts w:ascii="Arial" w:hAnsi="Arial" w:cs="Arial"/>
          <w:i/>
          <w:sz w:val="22"/>
          <w:szCs w:val="22"/>
          <w:lang w:val="en-US"/>
        </w:rPr>
        <w:t xml:space="preserve"> Costa Rica S.A.</w:t>
      </w:r>
    </w:p>
    <w:p w:rsidR="004C17A5" w:rsidRPr="004C17A5" w:rsidRDefault="004C17A5" w:rsidP="004C17A5">
      <w:pPr>
        <w:numPr>
          <w:ilvl w:val="0"/>
          <w:numId w:val="26"/>
        </w:numPr>
        <w:ind w:left="1134"/>
        <w:rPr>
          <w:rFonts w:ascii="Arial" w:hAnsi="Arial" w:cs="Arial"/>
          <w:i/>
          <w:sz w:val="22"/>
          <w:szCs w:val="22"/>
          <w:lang w:val="en-US"/>
        </w:rPr>
      </w:pPr>
      <w:r w:rsidRPr="004C17A5">
        <w:rPr>
          <w:rFonts w:ascii="Arial" w:hAnsi="Arial" w:cs="Arial"/>
          <w:i/>
          <w:sz w:val="22"/>
          <w:szCs w:val="22"/>
          <w:lang w:val="en-US"/>
        </w:rPr>
        <w:t>PricewaterhouseCoopers Costa Rica</w:t>
      </w:r>
    </w:p>
    <w:p w:rsidR="004C17A5" w:rsidRPr="004C17A5" w:rsidRDefault="004C17A5" w:rsidP="004C17A5">
      <w:pPr>
        <w:numPr>
          <w:ilvl w:val="0"/>
          <w:numId w:val="26"/>
        </w:numPr>
        <w:ind w:left="1134"/>
        <w:rPr>
          <w:rFonts w:ascii="Arial" w:hAnsi="Arial" w:cs="Arial"/>
          <w:i/>
          <w:sz w:val="22"/>
          <w:szCs w:val="22"/>
          <w:lang w:val="en-US"/>
        </w:rPr>
      </w:pPr>
      <w:r w:rsidRPr="004C17A5">
        <w:rPr>
          <w:rFonts w:ascii="Arial" w:hAnsi="Arial" w:cs="Arial"/>
          <w:i/>
          <w:sz w:val="22"/>
          <w:szCs w:val="22"/>
          <w:lang w:val="en-US"/>
        </w:rPr>
        <w:t xml:space="preserve"> KPMG, S.A.</w:t>
      </w:r>
    </w:p>
    <w:p w:rsidR="004C17A5" w:rsidRPr="004C17A5" w:rsidRDefault="004C17A5" w:rsidP="004C17A5">
      <w:pPr>
        <w:keepNext/>
        <w:numPr>
          <w:ilvl w:val="0"/>
          <w:numId w:val="23"/>
        </w:numPr>
        <w:spacing w:before="120" w:after="120"/>
        <w:ind w:left="709" w:hanging="357"/>
        <w:jc w:val="both"/>
        <w:outlineLvl w:val="0"/>
        <w:rPr>
          <w:rFonts w:ascii="Arial" w:hAnsi="Arial" w:cs="Arial"/>
          <w:b/>
          <w:bCs/>
          <w:i/>
          <w:color w:val="0070C0"/>
          <w:kern w:val="32"/>
          <w:sz w:val="22"/>
          <w:szCs w:val="22"/>
        </w:rPr>
      </w:pPr>
      <w:r w:rsidRPr="004C17A5">
        <w:rPr>
          <w:rFonts w:ascii="Arial" w:hAnsi="Arial" w:cs="Arial"/>
          <w:b/>
          <w:bCs/>
          <w:i/>
          <w:color w:val="0070C0"/>
          <w:kern w:val="32"/>
          <w:sz w:val="22"/>
          <w:szCs w:val="22"/>
        </w:rPr>
        <w:t>Recepción y Apertura de Ofertas</w:t>
      </w:r>
    </w:p>
    <w:p w:rsidR="004C17A5" w:rsidRPr="004C17A5" w:rsidRDefault="004C17A5" w:rsidP="004C17A5">
      <w:pPr>
        <w:ind w:left="426"/>
        <w:jc w:val="both"/>
        <w:rPr>
          <w:rFonts w:ascii="Arial" w:hAnsi="Arial" w:cs="Arial"/>
          <w:bCs/>
          <w:i/>
          <w:sz w:val="22"/>
          <w:szCs w:val="22"/>
        </w:rPr>
      </w:pPr>
      <w:r w:rsidRPr="004C17A5">
        <w:rPr>
          <w:rFonts w:ascii="Arial" w:hAnsi="Arial" w:cs="Arial"/>
          <w:bCs/>
          <w:i/>
          <w:sz w:val="22"/>
          <w:szCs w:val="22"/>
        </w:rPr>
        <w:t>La apertura se realiza el 30 de octubre del 2018 a las diez horas (10:00 a.m.), en el Departamento de Aprovisionamiento.</w:t>
      </w:r>
    </w:p>
    <w:p w:rsidR="004C17A5" w:rsidRPr="004C17A5" w:rsidRDefault="004C17A5" w:rsidP="004C17A5">
      <w:pPr>
        <w:ind w:left="426"/>
        <w:jc w:val="both"/>
        <w:rPr>
          <w:rFonts w:ascii="Arial" w:hAnsi="Arial" w:cs="Arial"/>
          <w:bCs/>
          <w:i/>
          <w:sz w:val="22"/>
          <w:szCs w:val="22"/>
        </w:rPr>
      </w:pPr>
    </w:p>
    <w:p w:rsidR="004C17A5" w:rsidRPr="004C17A5" w:rsidRDefault="004C17A5" w:rsidP="004C17A5">
      <w:pPr>
        <w:ind w:left="426"/>
        <w:jc w:val="both"/>
        <w:rPr>
          <w:rFonts w:ascii="Arial" w:hAnsi="Arial" w:cs="Arial"/>
          <w:bCs/>
          <w:i/>
          <w:sz w:val="22"/>
          <w:szCs w:val="22"/>
        </w:rPr>
      </w:pPr>
      <w:r w:rsidRPr="004C17A5">
        <w:rPr>
          <w:rFonts w:ascii="Arial" w:hAnsi="Arial" w:cs="Arial"/>
          <w:bCs/>
          <w:i/>
          <w:sz w:val="22"/>
          <w:szCs w:val="22"/>
        </w:rPr>
        <w:t>Se reciben dos ofertas a saber: (Véase folios del 06 al 534 del expediente).</w:t>
      </w:r>
    </w:p>
    <w:p w:rsidR="004C17A5" w:rsidRPr="004C17A5" w:rsidRDefault="004C17A5" w:rsidP="004C17A5">
      <w:pPr>
        <w:numPr>
          <w:ilvl w:val="0"/>
          <w:numId w:val="30"/>
        </w:numPr>
        <w:ind w:left="993"/>
        <w:rPr>
          <w:rFonts w:ascii="Arial" w:hAnsi="Arial" w:cs="Arial"/>
          <w:i/>
          <w:sz w:val="22"/>
          <w:szCs w:val="22"/>
        </w:rPr>
      </w:pPr>
      <w:r w:rsidRPr="004C17A5">
        <w:rPr>
          <w:rFonts w:ascii="Arial" w:hAnsi="Arial" w:cs="Arial"/>
          <w:i/>
          <w:sz w:val="22"/>
          <w:szCs w:val="22"/>
        </w:rPr>
        <w:t>Carvajal &amp; Colegiados, Contadores Públicos Autorizados S.A.</w:t>
      </w:r>
    </w:p>
    <w:p w:rsidR="004C17A5" w:rsidRPr="004C17A5" w:rsidRDefault="004C17A5" w:rsidP="004C17A5">
      <w:pPr>
        <w:numPr>
          <w:ilvl w:val="0"/>
          <w:numId w:val="30"/>
        </w:numPr>
        <w:ind w:left="993"/>
        <w:rPr>
          <w:rFonts w:ascii="Arial" w:hAnsi="Arial" w:cs="Arial"/>
          <w:i/>
          <w:sz w:val="22"/>
          <w:szCs w:val="22"/>
          <w:lang w:val="en-US"/>
        </w:rPr>
      </w:pPr>
      <w:r w:rsidRPr="004C17A5">
        <w:rPr>
          <w:rFonts w:ascii="Arial" w:hAnsi="Arial" w:cs="Arial"/>
          <w:i/>
          <w:sz w:val="22"/>
          <w:szCs w:val="22"/>
          <w:lang w:val="en-US"/>
        </w:rPr>
        <w:t xml:space="preserve">Crowe </w:t>
      </w:r>
      <w:proofErr w:type="spellStart"/>
      <w:r w:rsidRPr="004C17A5">
        <w:rPr>
          <w:rFonts w:ascii="Arial" w:hAnsi="Arial" w:cs="Arial"/>
          <w:i/>
          <w:sz w:val="22"/>
          <w:szCs w:val="22"/>
          <w:lang w:val="en-US"/>
        </w:rPr>
        <w:t>Horwath</w:t>
      </w:r>
      <w:proofErr w:type="spellEnd"/>
      <w:r w:rsidRPr="004C17A5">
        <w:rPr>
          <w:rFonts w:ascii="Arial" w:hAnsi="Arial" w:cs="Arial"/>
          <w:i/>
          <w:sz w:val="22"/>
          <w:szCs w:val="22"/>
          <w:lang w:val="en-US"/>
        </w:rPr>
        <w:t xml:space="preserve"> Costa Rica S.A.</w:t>
      </w:r>
    </w:p>
    <w:p w:rsidR="004C17A5" w:rsidRPr="004C17A5" w:rsidRDefault="004C17A5" w:rsidP="004C17A5">
      <w:pPr>
        <w:keepNext/>
        <w:numPr>
          <w:ilvl w:val="0"/>
          <w:numId w:val="23"/>
        </w:numPr>
        <w:spacing w:before="120" w:after="120"/>
        <w:ind w:left="709" w:hanging="357"/>
        <w:jc w:val="both"/>
        <w:outlineLvl w:val="0"/>
        <w:rPr>
          <w:rFonts w:ascii="Arial" w:hAnsi="Arial" w:cs="Arial"/>
          <w:b/>
          <w:bCs/>
          <w:i/>
          <w:color w:val="0070C0"/>
          <w:kern w:val="32"/>
          <w:sz w:val="22"/>
          <w:szCs w:val="22"/>
        </w:rPr>
      </w:pPr>
      <w:r w:rsidRPr="004C17A5">
        <w:rPr>
          <w:rFonts w:ascii="Arial" w:hAnsi="Arial" w:cs="Arial"/>
          <w:b/>
          <w:bCs/>
          <w:i/>
          <w:color w:val="0070C0"/>
          <w:kern w:val="32"/>
          <w:sz w:val="22"/>
          <w:szCs w:val="22"/>
        </w:rPr>
        <w:t>Análisis de las Ofertas</w:t>
      </w:r>
    </w:p>
    <w:p w:rsidR="004C17A5" w:rsidRPr="004C17A5" w:rsidRDefault="004C17A5" w:rsidP="004C17A5">
      <w:pPr>
        <w:jc w:val="center"/>
        <w:rPr>
          <w:rFonts w:ascii="Arial" w:hAnsi="Arial" w:cs="Arial"/>
          <w:b/>
          <w:sz w:val="22"/>
          <w:szCs w:val="22"/>
        </w:rPr>
      </w:pPr>
      <w:r w:rsidRPr="004C17A5">
        <w:rPr>
          <w:rFonts w:ascii="Arial" w:hAnsi="Arial" w:cs="Arial"/>
          <w:b/>
          <w:sz w:val="22"/>
          <w:szCs w:val="22"/>
        </w:rPr>
        <w:t>Cuadro Nº 1</w:t>
      </w:r>
    </w:p>
    <w:p w:rsidR="004C17A5" w:rsidRPr="004C17A5" w:rsidRDefault="004C17A5" w:rsidP="004C17A5">
      <w:pPr>
        <w:jc w:val="center"/>
        <w:rPr>
          <w:rFonts w:ascii="Arial" w:hAnsi="Arial" w:cs="Arial"/>
          <w:b/>
          <w:sz w:val="22"/>
          <w:szCs w:val="22"/>
        </w:rPr>
      </w:pPr>
      <w:r w:rsidRPr="004C17A5">
        <w:rPr>
          <w:rFonts w:ascii="Arial" w:hAnsi="Arial" w:cs="Arial"/>
          <w:b/>
          <w:sz w:val="22"/>
          <w:szCs w:val="22"/>
        </w:rPr>
        <w:t>Resumen, Condiciones y Aspectos Legales</w:t>
      </w:r>
    </w:p>
    <w:tbl>
      <w:tblPr>
        <w:tblW w:w="9332" w:type="dxa"/>
        <w:jc w:val="center"/>
        <w:tblBorders>
          <w:top w:val="single" w:sz="8" w:space="0" w:color="auto"/>
          <w:left w:val="single" w:sz="8" w:space="0" w:color="auto"/>
          <w:bottom w:val="single" w:sz="4" w:space="0" w:color="auto"/>
          <w:right w:val="single" w:sz="8" w:space="0" w:color="auto"/>
          <w:insideH w:val="single" w:sz="8" w:space="0" w:color="auto"/>
          <w:insideV w:val="single" w:sz="4" w:space="0" w:color="auto"/>
        </w:tblBorders>
        <w:tblCellMar>
          <w:left w:w="70" w:type="dxa"/>
          <w:right w:w="70" w:type="dxa"/>
        </w:tblCellMar>
        <w:tblLook w:val="0000" w:firstRow="0" w:lastRow="0" w:firstColumn="0" w:lastColumn="0" w:noHBand="0" w:noVBand="0"/>
      </w:tblPr>
      <w:tblGrid>
        <w:gridCol w:w="4240"/>
        <w:gridCol w:w="2546"/>
        <w:gridCol w:w="2546"/>
      </w:tblGrid>
      <w:tr w:rsidR="004C17A5" w:rsidRPr="004C17A5" w:rsidTr="00D245CA">
        <w:trPr>
          <w:trHeight w:val="414"/>
          <w:tblHeader/>
          <w:jc w:val="center"/>
        </w:trPr>
        <w:tc>
          <w:tcPr>
            <w:tcW w:w="4240" w:type="dxa"/>
            <w:vAlign w:val="center"/>
          </w:tcPr>
          <w:p w:rsidR="004C17A5" w:rsidRPr="004C17A5" w:rsidRDefault="004C17A5" w:rsidP="004C17A5">
            <w:pPr>
              <w:jc w:val="center"/>
              <w:rPr>
                <w:rFonts w:ascii="Arial" w:hAnsi="Arial" w:cs="Arial"/>
                <w:b/>
                <w:sz w:val="18"/>
                <w:szCs w:val="18"/>
              </w:rPr>
            </w:pPr>
            <w:r w:rsidRPr="004C17A5">
              <w:rPr>
                <w:rFonts w:ascii="Arial" w:hAnsi="Arial" w:cs="Arial"/>
                <w:b/>
                <w:sz w:val="18"/>
                <w:szCs w:val="18"/>
              </w:rPr>
              <w:t>Nombre del Oferente</w:t>
            </w:r>
          </w:p>
        </w:tc>
        <w:tc>
          <w:tcPr>
            <w:tcW w:w="2546" w:type="dxa"/>
            <w:vAlign w:val="center"/>
          </w:tcPr>
          <w:p w:rsidR="004C17A5" w:rsidRPr="004C17A5" w:rsidRDefault="004C17A5" w:rsidP="004C17A5">
            <w:pPr>
              <w:tabs>
                <w:tab w:val="left" w:pos="540"/>
              </w:tabs>
              <w:jc w:val="center"/>
              <w:rPr>
                <w:rFonts w:ascii="Arial" w:hAnsi="Arial" w:cs="Arial"/>
                <w:b/>
                <w:sz w:val="18"/>
                <w:szCs w:val="18"/>
              </w:rPr>
            </w:pPr>
            <w:r w:rsidRPr="004C17A5">
              <w:rPr>
                <w:rFonts w:ascii="Arial" w:hAnsi="Arial" w:cs="Arial"/>
                <w:b/>
                <w:sz w:val="18"/>
                <w:szCs w:val="18"/>
              </w:rPr>
              <w:t>Despacho Carvajal &amp; Colegiados, Contadores Públicos Autorizados S.A.</w:t>
            </w:r>
          </w:p>
        </w:tc>
        <w:tc>
          <w:tcPr>
            <w:tcW w:w="2546" w:type="dxa"/>
            <w:vAlign w:val="center"/>
          </w:tcPr>
          <w:p w:rsidR="004C17A5" w:rsidRPr="004C17A5" w:rsidRDefault="004C17A5" w:rsidP="004C17A5">
            <w:pPr>
              <w:tabs>
                <w:tab w:val="left" w:pos="540"/>
              </w:tabs>
              <w:jc w:val="center"/>
              <w:rPr>
                <w:rFonts w:ascii="Arial" w:hAnsi="Arial" w:cs="Arial"/>
                <w:b/>
                <w:sz w:val="18"/>
                <w:szCs w:val="18"/>
                <w:lang w:val="en-US"/>
              </w:rPr>
            </w:pPr>
            <w:r w:rsidRPr="004C17A5">
              <w:rPr>
                <w:rFonts w:ascii="Arial" w:hAnsi="Arial" w:cs="Arial"/>
                <w:b/>
                <w:sz w:val="18"/>
                <w:szCs w:val="18"/>
                <w:lang w:val="en-US"/>
              </w:rPr>
              <w:t xml:space="preserve">Crowe </w:t>
            </w:r>
            <w:proofErr w:type="spellStart"/>
            <w:r w:rsidRPr="004C17A5">
              <w:rPr>
                <w:rFonts w:ascii="Arial" w:hAnsi="Arial" w:cs="Arial"/>
                <w:b/>
                <w:sz w:val="18"/>
                <w:szCs w:val="18"/>
                <w:lang w:val="en-US"/>
              </w:rPr>
              <w:t>Horwarth</w:t>
            </w:r>
            <w:proofErr w:type="spellEnd"/>
            <w:r w:rsidRPr="004C17A5">
              <w:rPr>
                <w:rFonts w:ascii="Arial" w:hAnsi="Arial" w:cs="Arial"/>
                <w:b/>
                <w:sz w:val="18"/>
                <w:szCs w:val="18"/>
                <w:lang w:val="en-US"/>
              </w:rPr>
              <w:t xml:space="preserve"> CR S.A.</w:t>
            </w:r>
          </w:p>
        </w:tc>
      </w:tr>
      <w:tr w:rsidR="004C17A5" w:rsidRPr="004C17A5" w:rsidTr="00D245CA">
        <w:trPr>
          <w:trHeight w:val="414"/>
          <w:jc w:val="center"/>
        </w:trPr>
        <w:tc>
          <w:tcPr>
            <w:tcW w:w="4240" w:type="dxa"/>
            <w:shd w:val="clear" w:color="auto" w:fill="auto"/>
            <w:vAlign w:val="center"/>
          </w:tcPr>
          <w:p w:rsidR="004C17A5" w:rsidRPr="004C17A5" w:rsidRDefault="004C17A5" w:rsidP="004C17A5">
            <w:pPr>
              <w:rPr>
                <w:rFonts w:ascii="Arial" w:hAnsi="Arial" w:cs="Arial"/>
                <w:sz w:val="18"/>
                <w:szCs w:val="18"/>
              </w:rPr>
            </w:pPr>
            <w:r w:rsidRPr="004C17A5">
              <w:rPr>
                <w:rFonts w:ascii="Arial" w:hAnsi="Arial" w:cs="Arial"/>
                <w:sz w:val="18"/>
                <w:szCs w:val="18"/>
              </w:rPr>
              <w:t>Cédula Jurídica</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3-101-122731-10</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3-101-017989</w:t>
            </w:r>
          </w:p>
        </w:tc>
      </w:tr>
      <w:tr w:rsidR="004C17A5" w:rsidRPr="004C17A5" w:rsidTr="00D245CA">
        <w:trPr>
          <w:trHeight w:val="449"/>
          <w:jc w:val="center"/>
        </w:trPr>
        <w:tc>
          <w:tcPr>
            <w:tcW w:w="4240" w:type="dxa"/>
            <w:shd w:val="clear" w:color="auto" w:fill="auto"/>
            <w:vAlign w:val="center"/>
          </w:tcPr>
          <w:p w:rsidR="004C17A5" w:rsidRPr="004C17A5" w:rsidRDefault="004C17A5" w:rsidP="004C17A5">
            <w:pPr>
              <w:rPr>
                <w:rFonts w:ascii="Arial" w:hAnsi="Arial" w:cs="Arial"/>
                <w:sz w:val="18"/>
                <w:szCs w:val="18"/>
              </w:rPr>
            </w:pPr>
            <w:r w:rsidRPr="004C17A5">
              <w:rPr>
                <w:rFonts w:ascii="Arial" w:hAnsi="Arial" w:cs="Arial"/>
                <w:sz w:val="18"/>
                <w:szCs w:val="18"/>
              </w:rPr>
              <w:t xml:space="preserve">Total ofertado  </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¢7 360 000.00</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¢20.220.000,00</w:t>
            </w:r>
          </w:p>
        </w:tc>
      </w:tr>
      <w:tr w:rsidR="004C17A5" w:rsidRPr="004C17A5" w:rsidTr="00D245CA">
        <w:trPr>
          <w:trHeight w:val="324"/>
          <w:jc w:val="center"/>
        </w:trPr>
        <w:tc>
          <w:tcPr>
            <w:tcW w:w="4240" w:type="dxa"/>
            <w:shd w:val="clear" w:color="auto" w:fill="auto"/>
            <w:vAlign w:val="center"/>
          </w:tcPr>
          <w:p w:rsidR="004C17A5" w:rsidRPr="004C17A5" w:rsidRDefault="004C17A5" w:rsidP="004C17A5">
            <w:pPr>
              <w:rPr>
                <w:rFonts w:ascii="Arial" w:hAnsi="Arial" w:cs="Arial"/>
                <w:sz w:val="18"/>
                <w:szCs w:val="18"/>
              </w:rPr>
            </w:pPr>
            <w:r w:rsidRPr="004C17A5">
              <w:rPr>
                <w:rFonts w:ascii="Arial" w:hAnsi="Arial" w:cs="Arial"/>
                <w:sz w:val="18"/>
                <w:szCs w:val="18"/>
              </w:rPr>
              <w:t>Horas propuestas</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460</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720</w:t>
            </w:r>
          </w:p>
        </w:tc>
      </w:tr>
      <w:tr w:rsidR="004C17A5" w:rsidRPr="004C17A5" w:rsidTr="00D245CA">
        <w:trPr>
          <w:trHeight w:val="416"/>
          <w:jc w:val="center"/>
        </w:trPr>
        <w:tc>
          <w:tcPr>
            <w:tcW w:w="4240" w:type="dxa"/>
            <w:shd w:val="clear" w:color="auto" w:fill="auto"/>
            <w:vAlign w:val="center"/>
          </w:tcPr>
          <w:p w:rsidR="004C17A5" w:rsidRPr="004C17A5" w:rsidRDefault="004C17A5" w:rsidP="004C17A5">
            <w:pPr>
              <w:rPr>
                <w:rFonts w:ascii="Arial" w:hAnsi="Arial" w:cs="Arial"/>
                <w:sz w:val="18"/>
                <w:szCs w:val="18"/>
              </w:rPr>
            </w:pPr>
            <w:r w:rsidRPr="004C17A5">
              <w:rPr>
                <w:rFonts w:ascii="Arial" w:hAnsi="Arial" w:cs="Arial"/>
                <w:sz w:val="18"/>
                <w:szCs w:val="18"/>
              </w:rPr>
              <w:t>Vigencia de la oferta en días hábiles</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60 días</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60 días</w:t>
            </w:r>
          </w:p>
        </w:tc>
      </w:tr>
      <w:tr w:rsidR="004C17A5" w:rsidRPr="004C17A5" w:rsidTr="00D245CA">
        <w:trPr>
          <w:trHeight w:val="475"/>
          <w:jc w:val="center"/>
        </w:trPr>
        <w:tc>
          <w:tcPr>
            <w:tcW w:w="4240" w:type="dxa"/>
            <w:shd w:val="clear" w:color="auto" w:fill="auto"/>
            <w:vAlign w:val="center"/>
          </w:tcPr>
          <w:p w:rsidR="004C17A5" w:rsidRPr="004C17A5" w:rsidRDefault="004C17A5" w:rsidP="004C17A5">
            <w:pPr>
              <w:rPr>
                <w:rFonts w:ascii="Arial" w:hAnsi="Arial" w:cs="Arial"/>
                <w:sz w:val="18"/>
                <w:szCs w:val="18"/>
              </w:rPr>
            </w:pPr>
            <w:r w:rsidRPr="004C17A5">
              <w:rPr>
                <w:rFonts w:ascii="Arial" w:hAnsi="Arial" w:cs="Arial"/>
                <w:sz w:val="18"/>
                <w:szCs w:val="18"/>
              </w:rPr>
              <w:t>Tiempo de entrega</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 xml:space="preserve">Según Cartel </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Según Cartel</w:t>
            </w:r>
          </w:p>
        </w:tc>
      </w:tr>
      <w:tr w:rsidR="004C17A5" w:rsidRPr="004C17A5" w:rsidTr="00D245CA">
        <w:trPr>
          <w:trHeight w:val="348"/>
          <w:jc w:val="center"/>
        </w:trPr>
        <w:tc>
          <w:tcPr>
            <w:tcW w:w="4240" w:type="dxa"/>
            <w:shd w:val="clear" w:color="auto" w:fill="auto"/>
            <w:vAlign w:val="center"/>
          </w:tcPr>
          <w:p w:rsidR="004C17A5" w:rsidRPr="004C17A5" w:rsidRDefault="004C17A5" w:rsidP="004C17A5">
            <w:pPr>
              <w:jc w:val="both"/>
              <w:rPr>
                <w:rFonts w:ascii="Arial" w:hAnsi="Arial" w:cs="Arial"/>
                <w:sz w:val="18"/>
                <w:szCs w:val="18"/>
              </w:rPr>
            </w:pPr>
            <w:r w:rsidRPr="004C17A5">
              <w:rPr>
                <w:rFonts w:ascii="Arial" w:hAnsi="Arial" w:cs="Arial"/>
                <w:sz w:val="18"/>
                <w:szCs w:val="18"/>
              </w:rPr>
              <w:t>Declaración jurada de estar al día en el pago de impuestos nacionales</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 xml:space="preserve">SI </w:t>
            </w:r>
          </w:p>
        </w:tc>
        <w:tc>
          <w:tcPr>
            <w:tcW w:w="2546" w:type="dxa"/>
            <w:vAlign w:val="center"/>
          </w:tcPr>
          <w:p w:rsidR="004C17A5" w:rsidRPr="004C17A5" w:rsidRDefault="004C17A5" w:rsidP="004C17A5">
            <w:pPr>
              <w:jc w:val="center"/>
            </w:pPr>
            <w:r w:rsidRPr="004C17A5">
              <w:rPr>
                <w:rFonts w:ascii="Arial" w:hAnsi="Arial" w:cs="Arial"/>
                <w:sz w:val="18"/>
                <w:szCs w:val="18"/>
              </w:rPr>
              <w:t>SI</w:t>
            </w:r>
          </w:p>
        </w:tc>
      </w:tr>
      <w:tr w:rsidR="004C17A5" w:rsidRPr="004C17A5" w:rsidTr="00D245CA">
        <w:trPr>
          <w:trHeight w:val="348"/>
          <w:jc w:val="center"/>
        </w:trPr>
        <w:tc>
          <w:tcPr>
            <w:tcW w:w="4240" w:type="dxa"/>
            <w:shd w:val="clear" w:color="auto" w:fill="auto"/>
            <w:vAlign w:val="center"/>
          </w:tcPr>
          <w:p w:rsidR="004C17A5" w:rsidRPr="004C17A5" w:rsidRDefault="004C17A5" w:rsidP="004C17A5">
            <w:pPr>
              <w:jc w:val="both"/>
              <w:rPr>
                <w:rFonts w:ascii="Arial" w:hAnsi="Arial" w:cs="Arial"/>
                <w:sz w:val="18"/>
                <w:szCs w:val="18"/>
              </w:rPr>
            </w:pPr>
            <w:r w:rsidRPr="004C17A5">
              <w:rPr>
                <w:rFonts w:ascii="Arial" w:hAnsi="Arial" w:cs="Arial"/>
                <w:sz w:val="18"/>
                <w:szCs w:val="18"/>
              </w:rPr>
              <w:t xml:space="preserve">Declaración jurada que no lo afecta los artículos 22 y 22 bis de </w:t>
            </w:r>
            <w:smartTag w:uri="urn:schemas-microsoft-com:office:smarttags" w:element="PersonName">
              <w:smartTagPr>
                <w:attr w:name="ProductID" w:val="la Ley"/>
              </w:smartTagPr>
              <w:r w:rsidRPr="004C17A5">
                <w:rPr>
                  <w:rFonts w:ascii="Arial" w:hAnsi="Arial" w:cs="Arial"/>
                  <w:sz w:val="18"/>
                  <w:szCs w:val="18"/>
                </w:rPr>
                <w:t>la Ley</w:t>
              </w:r>
            </w:smartTag>
            <w:r w:rsidRPr="004C17A5">
              <w:rPr>
                <w:rFonts w:ascii="Arial" w:hAnsi="Arial" w:cs="Arial"/>
                <w:sz w:val="18"/>
                <w:szCs w:val="18"/>
              </w:rPr>
              <w:t xml:space="preserve"> de Contratación Administrativa</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SI</w:t>
            </w:r>
          </w:p>
        </w:tc>
        <w:tc>
          <w:tcPr>
            <w:tcW w:w="2546" w:type="dxa"/>
            <w:vAlign w:val="center"/>
          </w:tcPr>
          <w:p w:rsidR="004C17A5" w:rsidRPr="004C17A5" w:rsidRDefault="004C17A5" w:rsidP="004C17A5">
            <w:pPr>
              <w:jc w:val="center"/>
            </w:pPr>
            <w:r w:rsidRPr="004C17A5">
              <w:rPr>
                <w:rFonts w:ascii="Arial" w:hAnsi="Arial" w:cs="Arial"/>
                <w:sz w:val="18"/>
                <w:szCs w:val="18"/>
              </w:rPr>
              <w:t>SI</w:t>
            </w:r>
          </w:p>
        </w:tc>
      </w:tr>
      <w:tr w:rsidR="004C17A5" w:rsidRPr="004C17A5" w:rsidTr="00D245CA">
        <w:trPr>
          <w:trHeight w:val="348"/>
          <w:jc w:val="center"/>
        </w:trPr>
        <w:tc>
          <w:tcPr>
            <w:tcW w:w="4240" w:type="dxa"/>
            <w:shd w:val="clear" w:color="auto" w:fill="auto"/>
            <w:vAlign w:val="center"/>
          </w:tcPr>
          <w:p w:rsidR="004C17A5" w:rsidRPr="004C17A5" w:rsidRDefault="004C17A5" w:rsidP="004C17A5">
            <w:pPr>
              <w:jc w:val="both"/>
              <w:rPr>
                <w:rFonts w:ascii="Arial" w:hAnsi="Arial" w:cs="Arial"/>
                <w:sz w:val="18"/>
                <w:szCs w:val="18"/>
              </w:rPr>
            </w:pPr>
            <w:r w:rsidRPr="004C17A5">
              <w:rPr>
                <w:rFonts w:ascii="Arial" w:hAnsi="Arial" w:cs="Arial"/>
                <w:sz w:val="18"/>
                <w:szCs w:val="18"/>
              </w:rPr>
              <w:t xml:space="preserve">Declaración jurada que no lo afecta el artículo 100  del Reglamento de </w:t>
            </w:r>
            <w:smartTag w:uri="urn:schemas-microsoft-com:office:smarttags" w:element="PersonName">
              <w:smartTagPr>
                <w:attr w:name="ProductID" w:val="la Ley Contrataci￳n"/>
              </w:smartTagPr>
              <w:r w:rsidRPr="004C17A5">
                <w:rPr>
                  <w:rFonts w:ascii="Arial" w:hAnsi="Arial" w:cs="Arial"/>
                  <w:sz w:val="18"/>
                  <w:szCs w:val="18"/>
                </w:rPr>
                <w:t>la Ley Contratación</w:t>
              </w:r>
            </w:smartTag>
            <w:r w:rsidRPr="004C17A5">
              <w:rPr>
                <w:rFonts w:ascii="Arial" w:hAnsi="Arial" w:cs="Arial"/>
                <w:sz w:val="18"/>
                <w:szCs w:val="18"/>
              </w:rPr>
              <w:t xml:space="preserve"> Administrativa</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SI</w:t>
            </w:r>
          </w:p>
        </w:tc>
        <w:tc>
          <w:tcPr>
            <w:tcW w:w="2546" w:type="dxa"/>
            <w:vAlign w:val="center"/>
          </w:tcPr>
          <w:p w:rsidR="004C17A5" w:rsidRPr="004C17A5" w:rsidRDefault="004C17A5" w:rsidP="004C17A5">
            <w:pPr>
              <w:jc w:val="center"/>
            </w:pPr>
            <w:r w:rsidRPr="004C17A5">
              <w:rPr>
                <w:rFonts w:ascii="Arial" w:hAnsi="Arial" w:cs="Arial"/>
                <w:sz w:val="18"/>
                <w:szCs w:val="18"/>
              </w:rPr>
              <w:t>SI</w:t>
            </w:r>
          </w:p>
        </w:tc>
      </w:tr>
      <w:tr w:rsidR="004C17A5" w:rsidRPr="004C17A5" w:rsidTr="00D245CA">
        <w:trPr>
          <w:trHeight w:val="348"/>
          <w:jc w:val="center"/>
        </w:trPr>
        <w:tc>
          <w:tcPr>
            <w:tcW w:w="4240" w:type="dxa"/>
            <w:shd w:val="clear" w:color="auto" w:fill="auto"/>
            <w:vAlign w:val="center"/>
          </w:tcPr>
          <w:p w:rsidR="004C17A5" w:rsidRPr="004C17A5" w:rsidRDefault="004C17A5" w:rsidP="004C17A5">
            <w:pPr>
              <w:jc w:val="both"/>
              <w:rPr>
                <w:rFonts w:ascii="Arial" w:hAnsi="Arial" w:cs="Arial"/>
                <w:sz w:val="18"/>
                <w:szCs w:val="18"/>
              </w:rPr>
            </w:pPr>
            <w:r w:rsidRPr="004C17A5">
              <w:rPr>
                <w:rFonts w:ascii="Arial" w:hAnsi="Arial" w:cs="Arial"/>
                <w:sz w:val="18"/>
                <w:szCs w:val="18"/>
              </w:rPr>
              <w:t>Certificación de la Caja Costarricense de Seguro Social</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SI</w:t>
            </w:r>
          </w:p>
        </w:tc>
        <w:tc>
          <w:tcPr>
            <w:tcW w:w="2546" w:type="dxa"/>
            <w:vAlign w:val="center"/>
          </w:tcPr>
          <w:p w:rsidR="004C17A5" w:rsidRPr="004C17A5" w:rsidRDefault="004C17A5" w:rsidP="004C17A5">
            <w:pPr>
              <w:jc w:val="center"/>
            </w:pPr>
            <w:r w:rsidRPr="004C17A5">
              <w:rPr>
                <w:rFonts w:ascii="Arial" w:hAnsi="Arial" w:cs="Arial"/>
                <w:sz w:val="18"/>
                <w:szCs w:val="18"/>
              </w:rPr>
              <w:t>SI</w:t>
            </w:r>
          </w:p>
        </w:tc>
      </w:tr>
      <w:tr w:rsidR="004C17A5" w:rsidRPr="004C17A5" w:rsidTr="00D245CA">
        <w:trPr>
          <w:trHeight w:val="348"/>
          <w:jc w:val="center"/>
        </w:trPr>
        <w:tc>
          <w:tcPr>
            <w:tcW w:w="4240" w:type="dxa"/>
            <w:shd w:val="clear" w:color="auto" w:fill="auto"/>
            <w:vAlign w:val="center"/>
          </w:tcPr>
          <w:p w:rsidR="004C17A5" w:rsidRPr="004C17A5" w:rsidRDefault="004C17A5" w:rsidP="004C17A5">
            <w:pPr>
              <w:jc w:val="both"/>
              <w:rPr>
                <w:rFonts w:ascii="Arial" w:hAnsi="Arial" w:cs="Arial"/>
                <w:sz w:val="18"/>
                <w:szCs w:val="18"/>
              </w:rPr>
            </w:pPr>
            <w:r w:rsidRPr="004C17A5">
              <w:rPr>
                <w:rFonts w:ascii="Arial" w:hAnsi="Arial" w:cs="Arial"/>
                <w:sz w:val="18"/>
                <w:szCs w:val="18"/>
              </w:rPr>
              <w:t xml:space="preserve">Certificación del Fondo de Asignaciones Familiares </w:t>
            </w:r>
            <w:proofErr w:type="spellStart"/>
            <w:r w:rsidRPr="004C17A5">
              <w:rPr>
                <w:rFonts w:ascii="Arial" w:hAnsi="Arial" w:cs="Arial"/>
                <w:sz w:val="18"/>
                <w:szCs w:val="18"/>
              </w:rPr>
              <w:t>Fodesaf</w:t>
            </w:r>
            <w:proofErr w:type="spellEnd"/>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SI</w:t>
            </w:r>
          </w:p>
        </w:tc>
        <w:tc>
          <w:tcPr>
            <w:tcW w:w="2546" w:type="dxa"/>
            <w:vAlign w:val="center"/>
          </w:tcPr>
          <w:p w:rsidR="004C17A5" w:rsidRPr="004C17A5" w:rsidRDefault="004C17A5" w:rsidP="004C17A5">
            <w:pPr>
              <w:jc w:val="center"/>
            </w:pPr>
            <w:r w:rsidRPr="004C17A5">
              <w:rPr>
                <w:rFonts w:ascii="Arial" w:hAnsi="Arial" w:cs="Arial"/>
                <w:sz w:val="18"/>
                <w:szCs w:val="18"/>
              </w:rPr>
              <w:t>SI</w:t>
            </w:r>
          </w:p>
        </w:tc>
      </w:tr>
      <w:tr w:rsidR="004C17A5" w:rsidRPr="004C17A5" w:rsidTr="00D245CA">
        <w:trPr>
          <w:trHeight w:val="348"/>
          <w:jc w:val="center"/>
        </w:trPr>
        <w:tc>
          <w:tcPr>
            <w:tcW w:w="4240" w:type="dxa"/>
            <w:shd w:val="clear" w:color="auto" w:fill="auto"/>
            <w:vAlign w:val="center"/>
          </w:tcPr>
          <w:p w:rsidR="004C17A5" w:rsidRPr="004C17A5" w:rsidRDefault="004C17A5" w:rsidP="004C17A5">
            <w:pPr>
              <w:jc w:val="both"/>
              <w:rPr>
                <w:rFonts w:ascii="Arial" w:hAnsi="Arial" w:cs="Arial"/>
                <w:sz w:val="18"/>
                <w:szCs w:val="18"/>
              </w:rPr>
            </w:pPr>
            <w:r w:rsidRPr="004C17A5">
              <w:rPr>
                <w:rFonts w:ascii="Arial" w:hAnsi="Arial" w:cs="Arial"/>
                <w:sz w:val="18"/>
                <w:szCs w:val="18"/>
              </w:rPr>
              <w:t>Consulta situación tributaria</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SI</w:t>
            </w:r>
          </w:p>
        </w:tc>
        <w:tc>
          <w:tcPr>
            <w:tcW w:w="2546" w:type="dxa"/>
            <w:vAlign w:val="center"/>
          </w:tcPr>
          <w:p w:rsidR="004C17A5" w:rsidRPr="004C17A5" w:rsidRDefault="004C17A5" w:rsidP="004C17A5">
            <w:pPr>
              <w:jc w:val="center"/>
              <w:rPr>
                <w:rFonts w:ascii="Arial" w:hAnsi="Arial" w:cs="Arial"/>
                <w:sz w:val="18"/>
                <w:szCs w:val="18"/>
              </w:rPr>
            </w:pPr>
            <w:r w:rsidRPr="004C17A5">
              <w:rPr>
                <w:rFonts w:ascii="Arial" w:hAnsi="Arial" w:cs="Arial"/>
                <w:sz w:val="18"/>
                <w:szCs w:val="18"/>
              </w:rPr>
              <w:t>SI</w:t>
            </w:r>
          </w:p>
        </w:tc>
      </w:tr>
    </w:tbl>
    <w:p w:rsidR="004C17A5" w:rsidRPr="004C17A5" w:rsidRDefault="004C17A5" w:rsidP="004C17A5">
      <w:pPr>
        <w:keepNext/>
        <w:numPr>
          <w:ilvl w:val="0"/>
          <w:numId w:val="23"/>
        </w:numPr>
        <w:spacing w:before="120" w:after="120"/>
        <w:ind w:left="709" w:hanging="357"/>
        <w:jc w:val="both"/>
        <w:outlineLvl w:val="0"/>
        <w:rPr>
          <w:rFonts w:ascii="Arial" w:hAnsi="Arial" w:cs="Arial"/>
          <w:b/>
          <w:bCs/>
          <w:i/>
          <w:color w:val="0070C0"/>
          <w:kern w:val="32"/>
          <w:sz w:val="22"/>
          <w:szCs w:val="22"/>
        </w:rPr>
      </w:pPr>
      <w:r w:rsidRPr="004C17A5">
        <w:rPr>
          <w:rFonts w:ascii="Arial" w:hAnsi="Arial" w:cs="Arial"/>
          <w:b/>
          <w:bCs/>
          <w:i/>
          <w:color w:val="0070C0"/>
          <w:kern w:val="32"/>
          <w:sz w:val="22"/>
          <w:szCs w:val="22"/>
        </w:rPr>
        <w:lastRenderedPageBreak/>
        <w:t>Análisis del aspecto legal:</w:t>
      </w:r>
    </w:p>
    <w:p w:rsidR="004C17A5" w:rsidRPr="004C17A5" w:rsidRDefault="004C17A5" w:rsidP="004C17A5">
      <w:pPr>
        <w:ind w:left="426"/>
        <w:jc w:val="both"/>
        <w:rPr>
          <w:rFonts w:ascii="Arial" w:hAnsi="Arial" w:cs="Arial"/>
          <w:bCs/>
          <w:i/>
          <w:sz w:val="22"/>
          <w:szCs w:val="22"/>
        </w:rPr>
      </w:pPr>
      <w:r w:rsidRPr="004C17A5">
        <w:rPr>
          <w:rFonts w:ascii="Arial" w:hAnsi="Arial" w:cs="Arial"/>
          <w:bCs/>
          <w:i/>
          <w:sz w:val="22"/>
          <w:szCs w:val="22"/>
        </w:rPr>
        <w:t xml:space="preserve">Las dos ofertas cumplen con los requerimientos legales indicados en el cartel. </w:t>
      </w:r>
    </w:p>
    <w:p w:rsidR="004C17A5" w:rsidRPr="004C17A5" w:rsidRDefault="004C17A5" w:rsidP="004C17A5">
      <w:pPr>
        <w:keepNext/>
        <w:numPr>
          <w:ilvl w:val="0"/>
          <w:numId w:val="23"/>
        </w:numPr>
        <w:spacing w:before="120" w:after="120"/>
        <w:ind w:left="709" w:hanging="357"/>
        <w:jc w:val="both"/>
        <w:outlineLvl w:val="0"/>
        <w:rPr>
          <w:rFonts w:ascii="Arial" w:hAnsi="Arial" w:cs="Arial"/>
          <w:b/>
          <w:bCs/>
          <w:i/>
          <w:color w:val="0070C0"/>
          <w:kern w:val="32"/>
          <w:sz w:val="22"/>
          <w:szCs w:val="22"/>
        </w:rPr>
      </w:pPr>
      <w:r w:rsidRPr="004C17A5">
        <w:rPr>
          <w:rFonts w:ascii="Arial" w:hAnsi="Arial" w:cs="Arial"/>
          <w:b/>
          <w:bCs/>
          <w:i/>
          <w:color w:val="0070C0"/>
          <w:kern w:val="32"/>
          <w:sz w:val="22"/>
          <w:szCs w:val="22"/>
        </w:rPr>
        <w:t>Análisis Técnico</w:t>
      </w:r>
    </w:p>
    <w:p w:rsidR="004C17A5" w:rsidRPr="004C17A5" w:rsidRDefault="004C17A5" w:rsidP="004C17A5">
      <w:pPr>
        <w:ind w:left="426"/>
        <w:jc w:val="both"/>
        <w:rPr>
          <w:rFonts w:ascii="Arial" w:hAnsi="Arial" w:cs="Arial"/>
          <w:bCs/>
          <w:i/>
          <w:sz w:val="22"/>
          <w:szCs w:val="22"/>
        </w:rPr>
      </w:pPr>
      <w:r w:rsidRPr="004C17A5">
        <w:rPr>
          <w:rFonts w:ascii="Arial" w:hAnsi="Arial" w:cs="Arial"/>
          <w:bCs/>
          <w:i/>
          <w:sz w:val="22"/>
          <w:szCs w:val="22"/>
        </w:rPr>
        <w:t xml:space="preserve">Como parte del análisis técnico realizado se solicitan a los posibles oferentes las siguientes subsanaciones. Con el AP-1723-2018 se le solicita aclaración al oferente Despacho Carvajal &amp; Colegiados, Contadores Públicos Autorizados S.A. sobre la metodología utilizada para el cálculo de rubros de las cargas sociales (Ver folio 545 del expediente), dicha empresa aclara con nota presentada en el 2 de noviembre (Ver folio 554 del expediente). Al oferente </w:t>
      </w:r>
      <w:proofErr w:type="spellStart"/>
      <w:r w:rsidRPr="004C17A5">
        <w:rPr>
          <w:rFonts w:ascii="Arial" w:hAnsi="Arial" w:cs="Arial"/>
          <w:bCs/>
          <w:i/>
          <w:sz w:val="22"/>
          <w:szCs w:val="22"/>
        </w:rPr>
        <w:t>Crowe</w:t>
      </w:r>
      <w:proofErr w:type="spellEnd"/>
      <w:r w:rsidRPr="004C17A5">
        <w:rPr>
          <w:rFonts w:ascii="Arial" w:hAnsi="Arial" w:cs="Arial"/>
          <w:bCs/>
          <w:i/>
          <w:sz w:val="22"/>
          <w:szCs w:val="22"/>
        </w:rPr>
        <w:t xml:space="preserve"> </w:t>
      </w:r>
      <w:proofErr w:type="spellStart"/>
      <w:r w:rsidRPr="004C17A5">
        <w:rPr>
          <w:rFonts w:ascii="Arial" w:hAnsi="Arial" w:cs="Arial"/>
          <w:bCs/>
          <w:i/>
          <w:sz w:val="22"/>
          <w:szCs w:val="22"/>
        </w:rPr>
        <w:t>Horwath</w:t>
      </w:r>
      <w:proofErr w:type="spellEnd"/>
      <w:r w:rsidRPr="004C17A5">
        <w:rPr>
          <w:rFonts w:ascii="Arial" w:hAnsi="Arial" w:cs="Arial"/>
          <w:bCs/>
          <w:i/>
          <w:sz w:val="22"/>
          <w:szCs w:val="22"/>
        </w:rPr>
        <w:t xml:space="preserve"> Costa Rica S.A. con oficio AP-1722-2018 se le solicita aclarar si el desglose y estructura de honorarios presentados, incluyen mano de obra, dando respuesta con nota del 1 de noviembre (ver folio 551del expediente). Por segunda ocasión se envía oficio (AP-1746-2018) de subsane Al oferente Despacho Carvajal &amp; Colegiados, Contadores Públicos Autorizados S.A. donde se solicita aclarar si los costos correspondientes a cargas sociales y otros rubros, están incluidos en el costo de la mano de obra de la fórmula del precio, además, presentar las declaraciones juradas donde haga constar el tiempo que tiene de laborar para oferente, indicado la fecha de ingreso a la firma de cada uno de los profesionales asignados al Instituto, esto según el inciso b) de los Requisitos de los Equipos de Auditoría.</w:t>
      </w:r>
    </w:p>
    <w:p w:rsidR="004C17A5" w:rsidRPr="004C17A5" w:rsidRDefault="004C17A5" w:rsidP="004C17A5">
      <w:pPr>
        <w:jc w:val="both"/>
        <w:rPr>
          <w:rFonts w:ascii="Arial" w:hAnsi="Arial" w:cs="Arial"/>
          <w:bCs/>
          <w:sz w:val="16"/>
          <w:szCs w:val="16"/>
          <w:lang w:val="es-CR"/>
        </w:rPr>
      </w:pPr>
    </w:p>
    <w:p w:rsidR="004C17A5" w:rsidRPr="004C17A5" w:rsidRDefault="004C17A5" w:rsidP="004C17A5">
      <w:pPr>
        <w:ind w:left="426"/>
        <w:jc w:val="both"/>
        <w:rPr>
          <w:rFonts w:ascii="Arial" w:hAnsi="Arial" w:cs="Arial"/>
          <w:bCs/>
          <w:i/>
          <w:sz w:val="22"/>
          <w:szCs w:val="22"/>
        </w:rPr>
      </w:pPr>
      <w:r w:rsidRPr="004C17A5">
        <w:rPr>
          <w:rFonts w:ascii="Arial" w:hAnsi="Arial" w:cs="Arial"/>
          <w:bCs/>
          <w:i/>
          <w:sz w:val="22"/>
          <w:szCs w:val="22"/>
        </w:rPr>
        <w:t xml:space="preserve">El 16 de octubre de 2018, la Vicerrectoría de Administración remite el oficio VAD-0714-2018, suscrito por la MAE. Kathya Calderón Mora., Vicerrectora </w:t>
      </w:r>
      <w:proofErr w:type="spellStart"/>
      <w:r w:rsidRPr="004C17A5">
        <w:rPr>
          <w:rFonts w:ascii="Arial" w:hAnsi="Arial" w:cs="Arial"/>
          <w:bCs/>
          <w:i/>
          <w:sz w:val="22"/>
          <w:szCs w:val="22"/>
        </w:rPr>
        <w:t>a.i.</w:t>
      </w:r>
      <w:proofErr w:type="spellEnd"/>
      <w:r w:rsidRPr="004C17A5">
        <w:rPr>
          <w:rFonts w:ascii="Arial" w:hAnsi="Arial" w:cs="Arial"/>
          <w:bCs/>
          <w:i/>
          <w:sz w:val="22"/>
          <w:szCs w:val="22"/>
        </w:rPr>
        <w:t xml:space="preserve">; con el análisis técnico de las ofertas (Véase Folios del 574 al 577 del expediente). Se destaca por relevante lo siguiente: </w:t>
      </w:r>
    </w:p>
    <w:p w:rsidR="004C17A5" w:rsidRPr="004C17A5" w:rsidRDefault="004C17A5" w:rsidP="004C17A5">
      <w:pPr>
        <w:jc w:val="both"/>
        <w:rPr>
          <w:rFonts w:ascii="Arial" w:hAnsi="Arial" w:cs="Arial"/>
          <w:bCs/>
          <w:sz w:val="16"/>
          <w:szCs w:val="16"/>
          <w:lang w:val="es-CR"/>
        </w:rPr>
      </w:pPr>
    </w:p>
    <w:p w:rsidR="004C17A5" w:rsidRPr="004C17A5" w:rsidRDefault="004C17A5" w:rsidP="004C17A5">
      <w:pPr>
        <w:spacing w:line="276" w:lineRule="auto"/>
        <w:jc w:val="both"/>
        <w:rPr>
          <w:rFonts w:ascii="Arial" w:hAnsi="Arial" w:cs="Arial"/>
          <w:b/>
          <w:bCs/>
          <w:i/>
          <w:iCs/>
          <w:sz w:val="22"/>
          <w:lang w:val="es-CR"/>
        </w:rPr>
      </w:pPr>
      <w:proofErr w:type="spellStart"/>
      <w:r w:rsidRPr="004C17A5">
        <w:rPr>
          <w:rFonts w:ascii="Arial" w:hAnsi="Arial" w:cs="Arial"/>
          <w:b/>
          <w:bCs/>
          <w:i/>
          <w:iCs/>
          <w:sz w:val="22"/>
          <w:lang w:val="es-CR"/>
        </w:rPr>
        <w:t>Crowe</w:t>
      </w:r>
      <w:proofErr w:type="spellEnd"/>
      <w:r w:rsidRPr="004C17A5">
        <w:rPr>
          <w:rFonts w:ascii="Arial" w:hAnsi="Arial" w:cs="Arial"/>
          <w:b/>
          <w:bCs/>
          <w:i/>
          <w:iCs/>
          <w:sz w:val="22"/>
          <w:lang w:val="es-CR"/>
        </w:rPr>
        <w:t xml:space="preserve"> </w:t>
      </w:r>
      <w:proofErr w:type="spellStart"/>
      <w:r w:rsidRPr="004C17A5">
        <w:rPr>
          <w:rFonts w:ascii="Arial" w:hAnsi="Arial" w:cs="Arial"/>
          <w:b/>
          <w:bCs/>
          <w:i/>
          <w:iCs/>
          <w:sz w:val="22"/>
          <w:lang w:val="es-CR"/>
        </w:rPr>
        <w:t>Horwath</w:t>
      </w:r>
      <w:proofErr w:type="spellEnd"/>
      <w:r w:rsidRPr="004C17A5">
        <w:rPr>
          <w:rFonts w:ascii="Arial" w:hAnsi="Arial" w:cs="Arial"/>
          <w:b/>
          <w:bCs/>
          <w:i/>
          <w:iCs/>
          <w:sz w:val="22"/>
          <w:lang w:val="es-CR"/>
        </w:rPr>
        <w:t xml:space="preserve"> Costa Rica S.A.</w:t>
      </w:r>
    </w:p>
    <w:p w:rsidR="004C17A5" w:rsidRPr="004C17A5" w:rsidRDefault="004C17A5" w:rsidP="004C17A5">
      <w:pPr>
        <w:jc w:val="both"/>
        <w:rPr>
          <w:rFonts w:ascii="Arial" w:hAnsi="Arial" w:cs="Arial"/>
          <w:bCs/>
          <w:sz w:val="16"/>
          <w:szCs w:val="16"/>
          <w:lang w:val="es-CR"/>
        </w:rPr>
      </w:pPr>
    </w:p>
    <w:p w:rsidR="004C17A5" w:rsidRPr="004C17A5" w:rsidRDefault="004C17A5" w:rsidP="004C17A5">
      <w:pPr>
        <w:numPr>
          <w:ilvl w:val="0"/>
          <w:numId w:val="27"/>
        </w:numPr>
        <w:jc w:val="both"/>
        <w:rPr>
          <w:rFonts w:ascii="Arial" w:hAnsi="Arial" w:cs="Arial"/>
          <w:bCs/>
          <w:i/>
          <w:iCs/>
          <w:sz w:val="22"/>
          <w:lang w:val="es-CR"/>
        </w:rPr>
      </w:pPr>
      <w:r w:rsidRPr="004C17A5">
        <w:rPr>
          <w:rFonts w:ascii="Arial" w:hAnsi="Arial" w:cs="Arial"/>
          <w:b/>
          <w:bCs/>
          <w:i/>
          <w:iCs/>
          <w:sz w:val="22"/>
          <w:lang w:val="es-CR"/>
        </w:rPr>
        <w:t>Análisis Técnico:</w:t>
      </w:r>
      <w:r w:rsidRPr="004C17A5">
        <w:rPr>
          <w:rFonts w:ascii="Arial" w:hAnsi="Arial" w:cs="Arial"/>
          <w:bCs/>
          <w:i/>
          <w:iCs/>
          <w:sz w:val="22"/>
          <w:lang w:val="es-CR"/>
        </w:rPr>
        <w:t xml:space="preserve"> La oferta cumple técnicamente con lo solicitado en el cartel, una vez solicitada las aclaraciones respectivas. En cuanto a la Metodología propuesta para la auditoría financiera a realizar en el ITCR cumple con el objetivo y alcance de los servicios de auditoría requeridos en el cartel, según detalle de ejecución de pruebas a realizar en cada una de las partidas de los Estados Financieros.</w:t>
      </w:r>
    </w:p>
    <w:p w:rsidR="004C17A5" w:rsidRPr="004C17A5" w:rsidRDefault="004C17A5" w:rsidP="004C17A5">
      <w:pPr>
        <w:ind w:left="708"/>
        <w:jc w:val="both"/>
        <w:rPr>
          <w:rFonts w:ascii="Arial" w:hAnsi="Arial" w:cs="Arial"/>
          <w:bCs/>
          <w:i/>
          <w:iCs/>
          <w:sz w:val="22"/>
          <w:lang w:val="es-CR"/>
        </w:rPr>
      </w:pPr>
      <w:r w:rsidRPr="004C17A5">
        <w:rPr>
          <w:rFonts w:ascii="Arial" w:hAnsi="Arial" w:cs="Arial"/>
          <w:bCs/>
          <w:i/>
          <w:iCs/>
          <w:sz w:val="22"/>
          <w:lang w:val="es-CR"/>
        </w:rPr>
        <w:t>Con respecto a la experiencia del oferente y el equipo de auditoria se evidencia en la oferta que cuenta con amplia experiencia en la ejecución de auditorías en el sector público como privado.</w:t>
      </w:r>
    </w:p>
    <w:p w:rsidR="004C17A5" w:rsidRPr="004C17A5" w:rsidRDefault="004C17A5" w:rsidP="004C17A5">
      <w:pPr>
        <w:jc w:val="both"/>
        <w:rPr>
          <w:rFonts w:ascii="Arial" w:hAnsi="Arial" w:cs="Arial"/>
          <w:bCs/>
          <w:sz w:val="16"/>
          <w:szCs w:val="16"/>
          <w:lang w:val="es-CR"/>
        </w:rPr>
      </w:pPr>
    </w:p>
    <w:p w:rsidR="004C17A5" w:rsidRPr="004C17A5" w:rsidRDefault="004C17A5" w:rsidP="004C17A5">
      <w:pPr>
        <w:numPr>
          <w:ilvl w:val="0"/>
          <w:numId w:val="27"/>
        </w:numPr>
        <w:jc w:val="both"/>
        <w:rPr>
          <w:rFonts w:ascii="Arial" w:hAnsi="Arial" w:cs="Arial"/>
          <w:b/>
          <w:bCs/>
          <w:i/>
          <w:iCs/>
          <w:sz w:val="22"/>
          <w:lang w:val="es-CR"/>
        </w:rPr>
      </w:pPr>
      <w:r w:rsidRPr="004C17A5">
        <w:rPr>
          <w:rFonts w:ascii="Arial" w:hAnsi="Arial" w:cs="Arial"/>
          <w:b/>
          <w:bCs/>
          <w:i/>
          <w:iCs/>
          <w:sz w:val="22"/>
          <w:lang w:val="es-CR"/>
        </w:rPr>
        <w:t>Criterios y sistema de evaluación:</w:t>
      </w:r>
    </w:p>
    <w:p w:rsidR="004C17A5" w:rsidRPr="004C17A5" w:rsidRDefault="004C17A5" w:rsidP="004C17A5">
      <w:pPr>
        <w:jc w:val="both"/>
        <w:rPr>
          <w:rFonts w:ascii="Arial" w:hAnsi="Arial" w:cs="Arial"/>
          <w:bCs/>
          <w:sz w:val="16"/>
          <w:szCs w:val="16"/>
          <w:lang w:val="es-CR"/>
        </w:rPr>
      </w:pPr>
    </w:p>
    <w:p w:rsidR="004C17A5" w:rsidRPr="004C17A5" w:rsidRDefault="004C17A5" w:rsidP="004C17A5">
      <w:pPr>
        <w:numPr>
          <w:ilvl w:val="1"/>
          <w:numId w:val="27"/>
        </w:numPr>
        <w:ind w:left="993"/>
        <w:jc w:val="both"/>
        <w:rPr>
          <w:rFonts w:ascii="Arial" w:hAnsi="Arial" w:cs="Arial"/>
          <w:b/>
          <w:bCs/>
          <w:i/>
          <w:iCs/>
          <w:sz w:val="22"/>
          <w:lang w:val="es-CR"/>
        </w:rPr>
      </w:pPr>
      <w:r w:rsidRPr="004C17A5">
        <w:rPr>
          <w:rFonts w:ascii="Arial" w:hAnsi="Arial" w:cs="Arial"/>
          <w:b/>
          <w:bCs/>
          <w:i/>
          <w:iCs/>
          <w:sz w:val="22"/>
          <w:lang w:val="es-CR"/>
        </w:rPr>
        <w:t xml:space="preserve">Precio: </w:t>
      </w:r>
      <w:r w:rsidRPr="004C17A5">
        <w:rPr>
          <w:rFonts w:ascii="Arial" w:hAnsi="Arial" w:cs="Arial"/>
          <w:bCs/>
          <w:i/>
          <w:iCs/>
          <w:sz w:val="22"/>
          <w:lang w:val="es-CR"/>
        </w:rPr>
        <w:t xml:space="preserve">El precio por hora es de ¢28.083 el cual se considera razonable en relación con el mínimo establecido por el Colegio de Contadores Públicos de Costa Rica por hora profesional de ¢12.133. </w:t>
      </w:r>
    </w:p>
    <w:p w:rsidR="004C17A5" w:rsidRPr="004C17A5" w:rsidRDefault="004C17A5" w:rsidP="004C17A5">
      <w:pPr>
        <w:ind w:left="993"/>
        <w:jc w:val="both"/>
        <w:rPr>
          <w:rFonts w:ascii="Arial" w:hAnsi="Arial" w:cs="Arial"/>
          <w:bCs/>
          <w:i/>
          <w:iCs/>
          <w:sz w:val="22"/>
          <w:lang w:val="es-CR"/>
        </w:rPr>
      </w:pPr>
      <w:r w:rsidRPr="004C17A5">
        <w:rPr>
          <w:rFonts w:ascii="Arial" w:hAnsi="Arial" w:cs="Arial"/>
          <w:bCs/>
          <w:i/>
          <w:iCs/>
          <w:sz w:val="22"/>
          <w:lang w:val="es-CR"/>
        </w:rPr>
        <w:t>La cantidad horas que estimó el oferente para llevar acabo el objeto de la contratación indicada es de 720 horas, mismas que están a criterio del oferente en función al entendimiento del negocio y el alcance solicitado en el cartel entre otras variables.</w:t>
      </w:r>
    </w:p>
    <w:p w:rsidR="004C17A5" w:rsidRPr="004C17A5" w:rsidRDefault="004C17A5" w:rsidP="004C17A5">
      <w:pPr>
        <w:numPr>
          <w:ilvl w:val="1"/>
          <w:numId w:val="27"/>
        </w:numPr>
        <w:ind w:left="993"/>
        <w:jc w:val="both"/>
        <w:rPr>
          <w:rFonts w:ascii="Arial" w:hAnsi="Arial" w:cs="Arial"/>
          <w:bCs/>
          <w:i/>
          <w:iCs/>
          <w:sz w:val="22"/>
          <w:lang w:val="es-CR"/>
        </w:rPr>
      </w:pPr>
      <w:r w:rsidRPr="004C17A5">
        <w:rPr>
          <w:rFonts w:ascii="Arial" w:hAnsi="Arial" w:cs="Arial"/>
          <w:b/>
          <w:bCs/>
          <w:i/>
          <w:iCs/>
          <w:sz w:val="22"/>
          <w:lang w:val="es-CR"/>
        </w:rPr>
        <w:t xml:space="preserve">Experiencia del Despacho en trabajos similares realizados: </w:t>
      </w:r>
      <w:r w:rsidRPr="004C17A5">
        <w:rPr>
          <w:rFonts w:ascii="Arial" w:hAnsi="Arial" w:cs="Arial"/>
          <w:bCs/>
          <w:i/>
          <w:iCs/>
          <w:sz w:val="22"/>
          <w:lang w:val="es-CR"/>
        </w:rPr>
        <w:t xml:space="preserve">Para optar por la máxima calificación el oferente debió aportar cartas de recomendación de las Instituciones públicas donde haya realizado los servicios de auditoría. En el caso del oferente se presentan cartas, pero no todas cumplen con lo solicitado en el cartel. </w:t>
      </w:r>
    </w:p>
    <w:p w:rsidR="004C17A5" w:rsidRPr="004C17A5" w:rsidRDefault="004C17A5" w:rsidP="004C17A5">
      <w:pPr>
        <w:numPr>
          <w:ilvl w:val="1"/>
          <w:numId w:val="27"/>
        </w:numPr>
        <w:ind w:left="993"/>
        <w:jc w:val="both"/>
        <w:rPr>
          <w:rFonts w:ascii="Arial" w:hAnsi="Arial" w:cs="Arial"/>
          <w:bCs/>
          <w:i/>
          <w:iCs/>
          <w:sz w:val="22"/>
          <w:lang w:val="es-CR"/>
        </w:rPr>
      </w:pPr>
      <w:r w:rsidRPr="004C17A5">
        <w:rPr>
          <w:rFonts w:ascii="Arial" w:hAnsi="Arial" w:cs="Arial"/>
          <w:b/>
          <w:bCs/>
          <w:i/>
          <w:iCs/>
          <w:sz w:val="22"/>
          <w:lang w:val="es-CR"/>
        </w:rPr>
        <w:t xml:space="preserve">Experiencia profesional del personal mínimo requerido: </w:t>
      </w:r>
      <w:r w:rsidRPr="004C17A5">
        <w:rPr>
          <w:rFonts w:ascii="Arial" w:hAnsi="Arial" w:cs="Arial"/>
          <w:bCs/>
          <w:i/>
          <w:iCs/>
          <w:sz w:val="22"/>
          <w:lang w:val="es-CR"/>
        </w:rPr>
        <w:t xml:space="preserve">para ser acreedor de la máxima puntuación el oferente debió aportar cartas de cada una de las instituciones públicas o empresas donde se mencione a los profesionales y el cargo desempeñado. El oferente referencia la experiencia de los profesionales en cada </w:t>
      </w:r>
      <w:r w:rsidRPr="004C17A5">
        <w:rPr>
          <w:rFonts w:ascii="Arial" w:hAnsi="Arial" w:cs="Arial"/>
          <w:bCs/>
          <w:i/>
          <w:iCs/>
          <w:sz w:val="22"/>
          <w:lang w:val="es-CR"/>
        </w:rPr>
        <w:lastRenderedPageBreak/>
        <w:t>uno de sus currículos y aporta algunas cartas, pero no todas cumplen con los requisitos establecidos en el cartel.</w:t>
      </w:r>
    </w:p>
    <w:p w:rsidR="004C17A5" w:rsidRPr="004C17A5" w:rsidRDefault="004C17A5" w:rsidP="004C17A5">
      <w:pPr>
        <w:jc w:val="both"/>
        <w:rPr>
          <w:rFonts w:ascii="Arial" w:hAnsi="Arial" w:cs="Arial"/>
          <w:bCs/>
          <w:sz w:val="16"/>
          <w:szCs w:val="16"/>
          <w:lang w:val="es-CR"/>
        </w:rPr>
      </w:pPr>
    </w:p>
    <w:p w:rsidR="004C17A5" w:rsidRPr="004C17A5" w:rsidRDefault="004C17A5" w:rsidP="004C17A5">
      <w:pPr>
        <w:jc w:val="both"/>
        <w:rPr>
          <w:rFonts w:ascii="Arial" w:hAnsi="Arial" w:cs="Arial"/>
          <w:b/>
          <w:bCs/>
          <w:i/>
          <w:iCs/>
          <w:sz w:val="22"/>
          <w:lang w:val="es-CR"/>
        </w:rPr>
      </w:pPr>
      <w:bookmarkStart w:id="1" w:name="_Hlk529880909"/>
      <w:r w:rsidRPr="004C17A5">
        <w:rPr>
          <w:rFonts w:ascii="Arial" w:hAnsi="Arial" w:cs="Arial"/>
          <w:b/>
          <w:bCs/>
          <w:i/>
          <w:iCs/>
          <w:sz w:val="22"/>
          <w:lang w:val="es-CR"/>
        </w:rPr>
        <w:t>Despacho Carvajal &amp; Colegiados Contadores Públicos Autorizados S.A.</w:t>
      </w:r>
    </w:p>
    <w:p w:rsidR="004C17A5" w:rsidRPr="004C17A5" w:rsidRDefault="004C17A5" w:rsidP="004C17A5">
      <w:pPr>
        <w:jc w:val="both"/>
        <w:rPr>
          <w:rFonts w:ascii="Arial" w:hAnsi="Arial" w:cs="Arial"/>
          <w:bCs/>
          <w:sz w:val="16"/>
          <w:szCs w:val="16"/>
          <w:lang w:val="es-CR"/>
        </w:rPr>
      </w:pPr>
    </w:p>
    <w:bookmarkEnd w:id="1"/>
    <w:p w:rsidR="004C17A5" w:rsidRPr="004C17A5" w:rsidRDefault="004C17A5" w:rsidP="004C17A5">
      <w:pPr>
        <w:numPr>
          <w:ilvl w:val="0"/>
          <w:numId w:val="28"/>
        </w:numPr>
        <w:jc w:val="both"/>
        <w:rPr>
          <w:rFonts w:ascii="Arial" w:hAnsi="Arial" w:cs="Arial"/>
          <w:bCs/>
          <w:i/>
          <w:iCs/>
          <w:sz w:val="22"/>
          <w:lang w:val="es-CR"/>
        </w:rPr>
      </w:pPr>
      <w:r w:rsidRPr="004C17A5">
        <w:rPr>
          <w:rFonts w:ascii="Arial" w:hAnsi="Arial" w:cs="Arial"/>
          <w:b/>
          <w:bCs/>
          <w:i/>
          <w:iCs/>
          <w:sz w:val="22"/>
          <w:lang w:val="es-CR"/>
        </w:rPr>
        <w:t>Análisis Técnico:</w:t>
      </w:r>
      <w:r w:rsidRPr="004C17A5">
        <w:rPr>
          <w:rFonts w:ascii="Arial" w:hAnsi="Arial" w:cs="Arial"/>
          <w:bCs/>
          <w:i/>
          <w:iCs/>
          <w:sz w:val="22"/>
          <w:lang w:val="es-CR"/>
        </w:rPr>
        <w:t xml:space="preserve"> La oferta cumple técnicamente con lo solicitado en el cartel, una vez solicitada las aclaraciones respectivas. En cuanto al Programa de Trabajo se observa que cumple con el objetivo y alcance de los servicios de auditoría financiera de manera satisfactoria.</w:t>
      </w:r>
    </w:p>
    <w:p w:rsidR="004C17A5" w:rsidRPr="004C17A5" w:rsidRDefault="004C17A5" w:rsidP="004C17A5">
      <w:pPr>
        <w:ind w:left="709"/>
        <w:jc w:val="both"/>
        <w:rPr>
          <w:rFonts w:ascii="Arial" w:hAnsi="Arial" w:cs="Arial"/>
          <w:bCs/>
          <w:i/>
          <w:iCs/>
          <w:sz w:val="22"/>
          <w:lang w:val="es-CR"/>
        </w:rPr>
      </w:pPr>
      <w:r w:rsidRPr="004C17A5">
        <w:rPr>
          <w:rFonts w:ascii="Arial" w:hAnsi="Arial" w:cs="Arial"/>
          <w:bCs/>
          <w:i/>
          <w:iCs/>
          <w:sz w:val="22"/>
          <w:lang w:val="es-CR"/>
        </w:rPr>
        <w:t>Con respecto a la experiencia del oferente y el equipo de auditoria, se evidencia en la oferta que la misma es la necesaria para llevar a cabo la ejecución de auditoría financiera.</w:t>
      </w:r>
    </w:p>
    <w:p w:rsidR="004C17A5" w:rsidRPr="004C17A5" w:rsidRDefault="004C17A5" w:rsidP="004C17A5">
      <w:pPr>
        <w:ind w:left="709"/>
        <w:jc w:val="both"/>
        <w:rPr>
          <w:rFonts w:ascii="Arial" w:hAnsi="Arial" w:cs="Arial"/>
          <w:bCs/>
          <w:i/>
          <w:iCs/>
          <w:sz w:val="22"/>
          <w:lang w:val="es-CR"/>
        </w:rPr>
      </w:pPr>
    </w:p>
    <w:p w:rsidR="004C17A5" w:rsidRPr="004C17A5" w:rsidRDefault="004C17A5" w:rsidP="004C17A5">
      <w:pPr>
        <w:ind w:left="709"/>
        <w:jc w:val="both"/>
        <w:rPr>
          <w:rFonts w:ascii="Arial" w:hAnsi="Arial" w:cs="Arial"/>
          <w:bCs/>
          <w:i/>
          <w:iCs/>
          <w:sz w:val="22"/>
          <w:lang w:val="es-CR"/>
        </w:rPr>
      </w:pPr>
    </w:p>
    <w:p w:rsidR="004C17A5" w:rsidRPr="004C17A5" w:rsidRDefault="004C17A5" w:rsidP="004C17A5">
      <w:pPr>
        <w:ind w:left="709"/>
        <w:jc w:val="both"/>
        <w:rPr>
          <w:rFonts w:ascii="Arial" w:hAnsi="Arial" w:cs="Arial"/>
          <w:bCs/>
          <w:i/>
          <w:iCs/>
          <w:sz w:val="22"/>
          <w:lang w:val="es-CR"/>
        </w:rPr>
      </w:pPr>
    </w:p>
    <w:p w:rsidR="004C17A5" w:rsidRPr="004C17A5" w:rsidRDefault="004C17A5" w:rsidP="004C17A5">
      <w:pPr>
        <w:numPr>
          <w:ilvl w:val="0"/>
          <w:numId w:val="28"/>
        </w:numPr>
        <w:spacing w:line="276" w:lineRule="auto"/>
        <w:jc w:val="both"/>
        <w:rPr>
          <w:rFonts w:ascii="Arial" w:hAnsi="Arial" w:cs="Arial"/>
          <w:b/>
          <w:bCs/>
          <w:i/>
          <w:iCs/>
          <w:sz w:val="22"/>
          <w:lang w:val="es-CR"/>
        </w:rPr>
      </w:pPr>
      <w:r w:rsidRPr="004C17A5">
        <w:rPr>
          <w:rFonts w:ascii="Arial" w:hAnsi="Arial" w:cs="Arial"/>
          <w:b/>
          <w:bCs/>
          <w:i/>
          <w:iCs/>
          <w:sz w:val="22"/>
          <w:lang w:val="es-CR"/>
        </w:rPr>
        <w:t>Criterios y sistema de evaluación:</w:t>
      </w:r>
    </w:p>
    <w:p w:rsidR="004C17A5" w:rsidRPr="004C17A5" w:rsidRDefault="004C17A5" w:rsidP="004C17A5">
      <w:pPr>
        <w:spacing w:line="276" w:lineRule="auto"/>
        <w:ind w:left="360"/>
        <w:jc w:val="both"/>
        <w:rPr>
          <w:rFonts w:ascii="Arial" w:hAnsi="Arial" w:cs="Arial"/>
          <w:b/>
          <w:bCs/>
          <w:i/>
          <w:iCs/>
          <w:sz w:val="22"/>
          <w:lang w:val="es-CR"/>
        </w:rPr>
      </w:pPr>
    </w:p>
    <w:p w:rsidR="004C17A5" w:rsidRPr="004C17A5" w:rsidRDefault="004C17A5" w:rsidP="004C17A5">
      <w:pPr>
        <w:numPr>
          <w:ilvl w:val="1"/>
          <w:numId w:val="27"/>
        </w:numPr>
        <w:ind w:left="993"/>
        <w:jc w:val="both"/>
        <w:rPr>
          <w:rFonts w:ascii="Arial" w:hAnsi="Arial" w:cs="Arial"/>
          <w:b/>
          <w:bCs/>
          <w:i/>
          <w:iCs/>
          <w:sz w:val="22"/>
          <w:lang w:val="es-CR"/>
        </w:rPr>
      </w:pPr>
      <w:r w:rsidRPr="004C17A5">
        <w:rPr>
          <w:rFonts w:ascii="Arial" w:hAnsi="Arial" w:cs="Arial"/>
          <w:b/>
          <w:bCs/>
          <w:i/>
          <w:iCs/>
          <w:sz w:val="22"/>
          <w:lang w:val="es-CR"/>
        </w:rPr>
        <w:t xml:space="preserve">Precio: </w:t>
      </w:r>
      <w:r w:rsidRPr="004C17A5">
        <w:rPr>
          <w:rFonts w:ascii="Arial" w:hAnsi="Arial" w:cs="Arial"/>
          <w:bCs/>
          <w:i/>
          <w:iCs/>
          <w:sz w:val="22"/>
          <w:lang w:val="es-CR"/>
        </w:rPr>
        <w:t>El precio por hora es de ¢16.000 el cual se considera razonable en relación con el mínimo establecido por el Colegio de Contadores Públicos de Costa Rica por hora profesional de ¢12.133. Se solicitó la aclaración al Despacho con respecto a los componentes de la Mano de Obra que se incluían en la oferta, para lo cual se obtuvo una respuesta a satisfactoria.</w:t>
      </w:r>
    </w:p>
    <w:p w:rsidR="004C17A5" w:rsidRPr="004C17A5" w:rsidRDefault="004C17A5" w:rsidP="004C17A5">
      <w:pPr>
        <w:ind w:left="993"/>
        <w:jc w:val="both"/>
        <w:rPr>
          <w:rFonts w:ascii="Arial" w:hAnsi="Arial" w:cs="Arial"/>
          <w:bCs/>
          <w:i/>
          <w:iCs/>
          <w:sz w:val="22"/>
          <w:lang w:val="es-CR"/>
        </w:rPr>
      </w:pPr>
      <w:r w:rsidRPr="004C17A5">
        <w:rPr>
          <w:rFonts w:ascii="Arial" w:hAnsi="Arial" w:cs="Arial"/>
          <w:bCs/>
          <w:i/>
          <w:iCs/>
          <w:sz w:val="22"/>
          <w:lang w:val="es-CR"/>
        </w:rPr>
        <w:t>La cantidad horas que estimó el oferente para llevar acabo el objeto de la contratación indicada es de 460 horas mismas que son estimadas con base en el entendimiento del negocio y el alcance solicitado en el cartel entre otras variables.</w:t>
      </w:r>
    </w:p>
    <w:p w:rsidR="004C17A5" w:rsidRPr="004C17A5" w:rsidRDefault="004C17A5" w:rsidP="004C17A5">
      <w:pPr>
        <w:numPr>
          <w:ilvl w:val="1"/>
          <w:numId w:val="27"/>
        </w:numPr>
        <w:ind w:left="993"/>
        <w:jc w:val="both"/>
        <w:rPr>
          <w:rFonts w:ascii="Arial" w:hAnsi="Arial" w:cs="Arial"/>
          <w:bCs/>
          <w:i/>
          <w:iCs/>
          <w:sz w:val="22"/>
          <w:lang w:val="es-CR"/>
        </w:rPr>
      </w:pPr>
      <w:r w:rsidRPr="004C17A5">
        <w:rPr>
          <w:rFonts w:ascii="Arial" w:hAnsi="Arial" w:cs="Arial"/>
          <w:b/>
          <w:bCs/>
          <w:i/>
          <w:iCs/>
          <w:sz w:val="22"/>
          <w:lang w:val="es-CR"/>
        </w:rPr>
        <w:t xml:space="preserve">Experiencia del Despacho en trabajos similares realizados: </w:t>
      </w:r>
      <w:r w:rsidRPr="004C17A5">
        <w:rPr>
          <w:rFonts w:ascii="Arial" w:hAnsi="Arial" w:cs="Arial"/>
          <w:bCs/>
          <w:i/>
          <w:iCs/>
          <w:sz w:val="22"/>
          <w:lang w:val="es-CR"/>
        </w:rPr>
        <w:t xml:space="preserve">Las cartas presentadas por el oferente no todas cumplen con los requisitos establecidas en el cartel, por lo que se asigna puntuación aquella que hacen referencia explícita al solicitado en el cartel.  </w:t>
      </w:r>
    </w:p>
    <w:p w:rsidR="004C17A5" w:rsidRPr="004C17A5" w:rsidRDefault="004C17A5" w:rsidP="004C17A5">
      <w:pPr>
        <w:numPr>
          <w:ilvl w:val="1"/>
          <w:numId w:val="27"/>
        </w:numPr>
        <w:ind w:left="993"/>
        <w:jc w:val="both"/>
        <w:rPr>
          <w:rFonts w:ascii="Arial" w:hAnsi="Arial" w:cs="Arial"/>
          <w:bCs/>
          <w:i/>
          <w:iCs/>
          <w:sz w:val="22"/>
          <w:lang w:val="es-CR"/>
        </w:rPr>
      </w:pPr>
      <w:r w:rsidRPr="004C17A5">
        <w:rPr>
          <w:rFonts w:ascii="Arial" w:hAnsi="Arial" w:cs="Arial"/>
          <w:b/>
          <w:bCs/>
          <w:i/>
          <w:iCs/>
          <w:sz w:val="22"/>
          <w:lang w:val="es-CR"/>
        </w:rPr>
        <w:t>Experiencia profesional del personal mínimo requerido:</w:t>
      </w:r>
      <w:r w:rsidRPr="004C17A5">
        <w:rPr>
          <w:rFonts w:ascii="Arial" w:hAnsi="Arial" w:cs="Arial"/>
          <w:bCs/>
          <w:i/>
          <w:iCs/>
          <w:sz w:val="22"/>
          <w:lang w:val="es-CR"/>
        </w:rPr>
        <w:t xml:space="preserve"> El oferente presenta las cartas para la asignación de la puntuación conforme a lo solicitado en el cartel.</w:t>
      </w:r>
    </w:p>
    <w:p w:rsidR="004C17A5" w:rsidRPr="004C17A5" w:rsidRDefault="004C17A5" w:rsidP="004C17A5">
      <w:pPr>
        <w:widowControl w:val="0"/>
        <w:numPr>
          <w:ilvl w:val="0"/>
          <w:numId w:val="23"/>
        </w:numPr>
        <w:spacing w:before="120" w:after="120"/>
        <w:ind w:left="709" w:hanging="357"/>
        <w:jc w:val="both"/>
        <w:outlineLvl w:val="0"/>
        <w:rPr>
          <w:rFonts w:ascii="Arial" w:hAnsi="Arial" w:cs="Arial"/>
          <w:b/>
          <w:bCs/>
          <w:i/>
          <w:color w:val="0070C0"/>
          <w:kern w:val="32"/>
          <w:sz w:val="22"/>
          <w:szCs w:val="22"/>
        </w:rPr>
      </w:pPr>
      <w:r w:rsidRPr="004C17A5">
        <w:rPr>
          <w:rFonts w:ascii="Arial" w:hAnsi="Arial" w:cs="Arial"/>
          <w:b/>
          <w:bCs/>
          <w:i/>
          <w:color w:val="0070C0"/>
          <w:kern w:val="32"/>
          <w:sz w:val="22"/>
          <w:szCs w:val="22"/>
        </w:rPr>
        <w:t>Resumen del Análisis Técnico</w:t>
      </w:r>
    </w:p>
    <w:p w:rsidR="004C17A5" w:rsidRPr="004C17A5" w:rsidRDefault="004C17A5" w:rsidP="004C17A5">
      <w:pPr>
        <w:numPr>
          <w:ilvl w:val="0"/>
          <w:numId w:val="29"/>
        </w:numPr>
        <w:ind w:left="714" w:hanging="357"/>
        <w:jc w:val="both"/>
        <w:rPr>
          <w:rFonts w:ascii="Arial" w:hAnsi="Arial" w:cs="Arial"/>
          <w:bCs/>
          <w:i/>
          <w:sz w:val="22"/>
          <w:szCs w:val="22"/>
        </w:rPr>
      </w:pPr>
      <w:r w:rsidRPr="004C17A5">
        <w:rPr>
          <w:rFonts w:ascii="Arial" w:hAnsi="Arial" w:cs="Arial"/>
          <w:bCs/>
          <w:i/>
          <w:sz w:val="22"/>
          <w:szCs w:val="22"/>
        </w:rPr>
        <w:t>En los siguientes cuadros se muestra la correspondiente revisión y calificaciones de las ofertas:</w:t>
      </w:r>
    </w:p>
    <w:p w:rsidR="004C17A5" w:rsidRPr="004C17A5" w:rsidRDefault="004C17A5" w:rsidP="004C17A5">
      <w:pPr>
        <w:jc w:val="both"/>
        <w:rPr>
          <w:rFonts w:ascii="Arial" w:hAnsi="Arial" w:cs="Arial"/>
          <w:bCs/>
          <w:sz w:val="16"/>
          <w:szCs w:val="16"/>
        </w:rPr>
      </w:pPr>
    </w:p>
    <w:p w:rsidR="004C17A5" w:rsidRPr="004C17A5" w:rsidRDefault="004C17A5" w:rsidP="004C17A5">
      <w:pPr>
        <w:jc w:val="center"/>
        <w:rPr>
          <w:rFonts w:ascii="Arial" w:hAnsi="Arial" w:cs="Arial"/>
          <w:bCs/>
          <w:sz w:val="22"/>
          <w:szCs w:val="22"/>
        </w:rPr>
      </w:pPr>
      <w:r w:rsidRPr="004C17A5">
        <w:rPr>
          <w:noProof/>
          <w:lang w:val="es-CR" w:eastAsia="es-CR"/>
        </w:rPr>
        <w:lastRenderedPageBreak/>
        <w:drawing>
          <wp:inline distT="0" distB="0" distL="0" distR="0" wp14:anchorId="1C247394" wp14:editId="3D72AADD">
            <wp:extent cx="5837337" cy="6210300"/>
            <wp:effectExtent l="0" t="0" r="0" b="0"/>
            <wp:docPr id="9" name="Imagen 9" descr="CD 2018LA-000028-APIT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 2018LA-000028-APIT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5113" cy="6218572"/>
                    </a:xfrm>
                    <a:prstGeom prst="rect">
                      <a:avLst/>
                    </a:prstGeom>
                    <a:noFill/>
                    <a:ln>
                      <a:noFill/>
                    </a:ln>
                  </pic:spPr>
                </pic:pic>
              </a:graphicData>
            </a:graphic>
          </wp:inline>
        </w:drawing>
      </w:r>
    </w:p>
    <w:p w:rsidR="004C17A5" w:rsidRPr="004C17A5" w:rsidRDefault="004C17A5" w:rsidP="004C17A5">
      <w:pPr>
        <w:numPr>
          <w:ilvl w:val="0"/>
          <w:numId w:val="29"/>
        </w:numPr>
        <w:ind w:left="714" w:hanging="357"/>
        <w:jc w:val="both"/>
        <w:rPr>
          <w:rFonts w:ascii="Arial" w:hAnsi="Arial" w:cs="Arial"/>
          <w:bCs/>
          <w:i/>
          <w:sz w:val="22"/>
          <w:szCs w:val="22"/>
        </w:rPr>
      </w:pPr>
      <w:r w:rsidRPr="004C17A5">
        <w:rPr>
          <w:rFonts w:ascii="Arial" w:hAnsi="Arial" w:cs="Arial"/>
          <w:bCs/>
          <w:sz w:val="22"/>
          <w:szCs w:val="22"/>
        </w:rPr>
        <w:br w:type="page"/>
      </w:r>
      <w:r w:rsidRPr="004C17A5">
        <w:rPr>
          <w:rFonts w:ascii="Arial" w:hAnsi="Arial" w:cs="Arial"/>
          <w:bCs/>
          <w:i/>
          <w:sz w:val="22"/>
          <w:szCs w:val="22"/>
        </w:rPr>
        <w:lastRenderedPageBreak/>
        <w:t xml:space="preserve">En los dos siguientes cuadros se presenta el cumplimiento de los requisitos </w:t>
      </w:r>
      <w:proofErr w:type="spellStart"/>
      <w:r w:rsidRPr="004C17A5">
        <w:rPr>
          <w:rFonts w:ascii="Arial" w:hAnsi="Arial" w:cs="Arial"/>
          <w:bCs/>
          <w:i/>
          <w:sz w:val="22"/>
          <w:szCs w:val="22"/>
        </w:rPr>
        <w:t>cartelarios</w:t>
      </w:r>
      <w:proofErr w:type="spellEnd"/>
      <w:r w:rsidRPr="004C17A5">
        <w:rPr>
          <w:rFonts w:ascii="Arial" w:hAnsi="Arial" w:cs="Arial"/>
          <w:bCs/>
          <w:i/>
          <w:sz w:val="22"/>
          <w:szCs w:val="22"/>
        </w:rPr>
        <w:t xml:space="preserve"> de cada uno de los oferentes:</w:t>
      </w:r>
    </w:p>
    <w:p w:rsidR="004C17A5" w:rsidRPr="004C17A5" w:rsidRDefault="004C17A5" w:rsidP="004C17A5">
      <w:pPr>
        <w:jc w:val="both"/>
        <w:rPr>
          <w:rFonts w:ascii="Arial" w:hAnsi="Arial" w:cs="Arial"/>
          <w:bCs/>
          <w:sz w:val="22"/>
          <w:szCs w:val="22"/>
        </w:rPr>
      </w:pPr>
    </w:p>
    <w:p w:rsidR="004C17A5" w:rsidRPr="004C17A5" w:rsidRDefault="004C17A5" w:rsidP="004C17A5">
      <w:pPr>
        <w:jc w:val="center"/>
      </w:pPr>
      <w:r w:rsidRPr="004C17A5">
        <w:rPr>
          <w:noProof/>
          <w:lang w:val="es-CR" w:eastAsia="es-CR"/>
        </w:rPr>
        <w:drawing>
          <wp:inline distT="0" distB="0" distL="0" distR="0" wp14:anchorId="7311BFAB" wp14:editId="0AF2E5BB">
            <wp:extent cx="5897175" cy="3833164"/>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0954" cy="3835621"/>
                    </a:xfrm>
                    <a:prstGeom prst="rect">
                      <a:avLst/>
                    </a:prstGeom>
                    <a:noFill/>
                    <a:ln>
                      <a:noFill/>
                    </a:ln>
                  </pic:spPr>
                </pic:pic>
              </a:graphicData>
            </a:graphic>
          </wp:inline>
        </w:drawing>
      </w:r>
    </w:p>
    <w:p w:rsidR="004C17A5" w:rsidRPr="004C17A5" w:rsidRDefault="004C17A5" w:rsidP="004C17A5">
      <w:pPr>
        <w:jc w:val="center"/>
        <w:rPr>
          <w:rFonts w:ascii="Arial" w:hAnsi="Arial" w:cs="Arial"/>
          <w:bCs/>
          <w:sz w:val="22"/>
          <w:szCs w:val="22"/>
        </w:rPr>
      </w:pPr>
    </w:p>
    <w:p w:rsidR="004C17A5" w:rsidRPr="004C17A5" w:rsidRDefault="004C17A5" w:rsidP="004C17A5">
      <w:pPr>
        <w:jc w:val="center"/>
        <w:rPr>
          <w:rFonts w:ascii="Arial" w:hAnsi="Arial" w:cs="Arial"/>
          <w:bCs/>
          <w:sz w:val="22"/>
          <w:szCs w:val="22"/>
        </w:rPr>
      </w:pPr>
      <w:r w:rsidRPr="004C17A5">
        <w:rPr>
          <w:noProof/>
          <w:lang w:val="es-CR" w:eastAsia="es-CR"/>
        </w:rPr>
        <w:drawing>
          <wp:inline distT="0" distB="0" distL="0" distR="0" wp14:anchorId="2363EBE9" wp14:editId="4B5E0D3B">
            <wp:extent cx="5844054" cy="3664915"/>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1497" cy="3669582"/>
                    </a:xfrm>
                    <a:prstGeom prst="rect">
                      <a:avLst/>
                    </a:prstGeom>
                    <a:noFill/>
                    <a:ln>
                      <a:noFill/>
                    </a:ln>
                  </pic:spPr>
                </pic:pic>
              </a:graphicData>
            </a:graphic>
          </wp:inline>
        </w:drawing>
      </w:r>
    </w:p>
    <w:p w:rsidR="004C17A5" w:rsidRPr="004C17A5" w:rsidRDefault="004C17A5" w:rsidP="004C17A5">
      <w:pPr>
        <w:jc w:val="both"/>
        <w:rPr>
          <w:rFonts w:ascii="Arial" w:hAnsi="Arial" w:cs="Arial"/>
          <w:bCs/>
          <w:sz w:val="22"/>
          <w:szCs w:val="22"/>
        </w:rPr>
      </w:pPr>
    </w:p>
    <w:p w:rsidR="004C17A5" w:rsidRPr="004C17A5" w:rsidRDefault="004C17A5" w:rsidP="004C17A5">
      <w:pPr>
        <w:jc w:val="both"/>
        <w:rPr>
          <w:rFonts w:ascii="Arial" w:hAnsi="Arial" w:cs="Arial"/>
          <w:bCs/>
          <w:sz w:val="22"/>
          <w:szCs w:val="22"/>
        </w:rPr>
      </w:pPr>
    </w:p>
    <w:p w:rsidR="004C17A5" w:rsidRPr="004C17A5" w:rsidRDefault="004C17A5" w:rsidP="004C17A5">
      <w:pPr>
        <w:numPr>
          <w:ilvl w:val="0"/>
          <w:numId w:val="29"/>
        </w:numPr>
        <w:ind w:left="714" w:hanging="357"/>
        <w:jc w:val="both"/>
        <w:rPr>
          <w:rFonts w:ascii="Arial" w:hAnsi="Arial" w:cs="Arial"/>
          <w:bCs/>
          <w:i/>
          <w:sz w:val="22"/>
          <w:szCs w:val="22"/>
        </w:rPr>
      </w:pPr>
      <w:r w:rsidRPr="004C17A5">
        <w:rPr>
          <w:rFonts w:ascii="Arial" w:hAnsi="Arial" w:cs="Arial"/>
          <w:bCs/>
          <w:i/>
          <w:sz w:val="22"/>
          <w:szCs w:val="22"/>
        </w:rPr>
        <w:t xml:space="preserve">En siguientes cuadros muestran la Experiencia de cada una de las firmas participantes en el proceso licitatorio: </w:t>
      </w:r>
    </w:p>
    <w:p w:rsidR="004C17A5" w:rsidRPr="004C17A5" w:rsidRDefault="004C17A5" w:rsidP="004C17A5">
      <w:pPr>
        <w:jc w:val="both"/>
        <w:rPr>
          <w:rFonts w:ascii="Arial" w:hAnsi="Arial" w:cs="Arial"/>
          <w:bCs/>
          <w:sz w:val="16"/>
          <w:szCs w:val="16"/>
        </w:rPr>
      </w:pPr>
    </w:p>
    <w:p w:rsidR="004C17A5" w:rsidRPr="004C17A5" w:rsidRDefault="004C17A5" w:rsidP="004C17A5">
      <w:pPr>
        <w:jc w:val="center"/>
        <w:rPr>
          <w:rFonts w:ascii="Arial" w:hAnsi="Arial" w:cs="Arial"/>
          <w:bCs/>
          <w:sz w:val="22"/>
          <w:szCs w:val="22"/>
        </w:rPr>
      </w:pPr>
      <w:r w:rsidRPr="004C17A5">
        <w:rPr>
          <w:noProof/>
          <w:lang w:val="es-CR" w:eastAsia="es-CR"/>
        </w:rPr>
        <w:drawing>
          <wp:inline distT="0" distB="0" distL="0" distR="0" wp14:anchorId="722E6420" wp14:editId="78C41BB4">
            <wp:extent cx="4732407" cy="4718304"/>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0817" cy="4736659"/>
                    </a:xfrm>
                    <a:prstGeom prst="rect">
                      <a:avLst/>
                    </a:prstGeom>
                    <a:noFill/>
                    <a:ln>
                      <a:noFill/>
                    </a:ln>
                  </pic:spPr>
                </pic:pic>
              </a:graphicData>
            </a:graphic>
          </wp:inline>
        </w:drawing>
      </w:r>
    </w:p>
    <w:p w:rsidR="004C17A5" w:rsidRPr="004C17A5" w:rsidRDefault="004C17A5" w:rsidP="004C17A5">
      <w:pPr>
        <w:jc w:val="both"/>
        <w:rPr>
          <w:rFonts w:ascii="Arial" w:hAnsi="Arial" w:cs="Arial"/>
          <w:bCs/>
          <w:sz w:val="16"/>
          <w:szCs w:val="16"/>
        </w:rPr>
      </w:pPr>
    </w:p>
    <w:p w:rsidR="004C17A5" w:rsidRPr="004C17A5" w:rsidRDefault="004C17A5" w:rsidP="004C17A5">
      <w:pPr>
        <w:jc w:val="center"/>
        <w:rPr>
          <w:rFonts w:ascii="Arial" w:hAnsi="Arial" w:cs="Arial"/>
          <w:bCs/>
          <w:sz w:val="22"/>
          <w:szCs w:val="22"/>
        </w:rPr>
      </w:pPr>
      <w:r w:rsidRPr="004C17A5">
        <w:rPr>
          <w:noProof/>
          <w:lang w:val="es-CR" w:eastAsia="es-CR"/>
        </w:rPr>
        <w:drawing>
          <wp:inline distT="0" distB="0" distL="0" distR="0" wp14:anchorId="1667C0CE" wp14:editId="255C4E6B">
            <wp:extent cx="4747259" cy="30943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9562" cy="3102350"/>
                    </a:xfrm>
                    <a:prstGeom prst="rect">
                      <a:avLst/>
                    </a:prstGeom>
                    <a:noFill/>
                    <a:ln>
                      <a:noFill/>
                    </a:ln>
                  </pic:spPr>
                </pic:pic>
              </a:graphicData>
            </a:graphic>
          </wp:inline>
        </w:drawing>
      </w:r>
    </w:p>
    <w:p w:rsidR="004C17A5" w:rsidRPr="004C17A5" w:rsidRDefault="004C17A5" w:rsidP="004C17A5">
      <w:pPr>
        <w:jc w:val="both"/>
        <w:rPr>
          <w:rFonts w:ascii="Arial" w:hAnsi="Arial" w:cs="Arial"/>
          <w:bCs/>
          <w:sz w:val="22"/>
          <w:szCs w:val="22"/>
        </w:rPr>
      </w:pPr>
    </w:p>
    <w:p w:rsidR="004C17A5" w:rsidRPr="004C17A5" w:rsidRDefault="004C17A5" w:rsidP="004C17A5">
      <w:pPr>
        <w:jc w:val="both"/>
        <w:rPr>
          <w:rFonts w:ascii="Arial" w:hAnsi="Arial" w:cs="Arial"/>
          <w:bCs/>
          <w:sz w:val="22"/>
          <w:szCs w:val="22"/>
        </w:rPr>
      </w:pPr>
    </w:p>
    <w:p w:rsidR="004C17A5" w:rsidRPr="004C17A5" w:rsidRDefault="004C17A5" w:rsidP="004C17A5">
      <w:pPr>
        <w:jc w:val="center"/>
      </w:pPr>
      <w:r w:rsidRPr="004C17A5">
        <w:rPr>
          <w:noProof/>
          <w:lang w:val="es-CR" w:eastAsia="es-CR"/>
        </w:rPr>
        <w:lastRenderedPageBreak/>
        <w:drawing>
          <wp:inline distT="0" distB="0" distL="0" distR="0" wp14:anchorId="61391F75" wp14:editId="6778BB5F">
            <wp:extent cx="5577840" cy="137160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1371600"/>
                    </a:xfrm>
                    <a:prstGeom prst="rect">
                      <a:avLst/>
                    </a:prstGeom>
                    <a:noFill/>
                    <a:ln>
                      <a:noFill/>
                    </a:ln>
                  </pic:spPr>
                </pic:pic>
              </a:graphicData>
            </a:graphic>
          </wp:inline>
        </w:drawing>
      </w:r>
    </w:p>
    <w:p w:rsidR="004C17A5" w:rsidRPr="004C17A5" w:rsidRDefault="004C17A5" w:rsidP="004C17A5">
      <w:pPr>
        <w:jc w:val="center"/>
        <w:rPr>
          <w:rFonts w:ascii="Arial" w:hAnsi="Arial" w:cs="Arial"/>
          <w:bCs/>
          <w:sz w:val="22"/>
          <w:szCs w:val="22"/>
        </w:rPr>
      </w:pPr>
    </w:p>
    <w:p w:rsidR="004C17A5" w:rsidRPr="004C17A5" w:rsidRDefault="004C17A5" w:rsidP="004C17A5">
      <w:pPr>
        <w:widowControl w:val="0"/>
        <w:numPr>
          <w:ilvl w:val="0"/>
          <w:numId w:val="23"/>
        </w:numPr>
        <w:spacing w:before="120" w:after="120"/>
        <w:ind w:left="709" w:hanging="357"/>
        <w:jc w:val="both"/>
        <w:outlineLvl w:val="0"/>
        <w:rPr>
          <w:rFonts w:ascii="Arial" w:hAnsi="Arial" w:cs="Arial"/>
          <w:b/>
          <w:bCs/>
          <w:i/>
          <w:color w:val="0070C0"/>
          <w:kern w:val="32"/>
          <w:sz w:val="22"/>
          <w:szCs w:val="22"/>
        </w:rPr>
      </w:pPr>
      <w:r w:rsidRPr="004C17A5">
        <w:rPr>
          <w:rFonts w:ascii="Arial" w:hAnsi="Arial" w:cs="Arial"/>
          <w:b/>
          <w:bCs/>
          <w:i/>
          <w:color w:val="0070C0"/>
          <w:kern w:val="32"/>
          <w:sz w:val="22"/>
          <w:szCs w:val="22"/>
        </w:rPr>
        <w:t>Recomendación técnica para adjudicación:</w:t>
      </w:r>
    </w:p>
    <w:p w:rsidR="004C17A5" w:rsidRPr="004C17A5" w:rsidRDefault="004C17A5" w:rsidP="004C17A5">
      <w:pPr>
        <w:spacing w:line="276" w:lineRule="auto"/>
        <w:ind w:left="284"/>
        <w:jc w:val="both"/>
        <w:rPr>
          <w:rFonts w:ascii="Arial" w:hAnsi="Arial" w:cs="Arial"/>
          <w:bCs/>
          <w:i/>
          <w:iCs/>
          <w:sz w:val="22"/>
          <w:lang w:val="es-CR"/>
        </w:rPr>
      </w:pPr>
      <w:r w:rsidRPr="004C17A5">
        <w:rPr>
          <w:rFonts w:ascii="Arial" w:hAnsi="Arial" w:cs="Arial"/>
          <w:bCs/>
          <w:i/>
          <w:iCs/>
          <w:sz w:val="22"/>
          <w:lang w:val="es-CR"/>
        </w:rPr>
        <w:t xml:space="preserve">Las ofertas recibidas cumplen técnicamente con las especificaciones solicitadas en el pliego de condiciones, una vez aplicados los parámetros de calificación establecidos en el cartel la oferta que resultó con un puntaje mayor es Despacho Carvajal &amp; Colegiados Contadores Públicos Autorizados S.A. con una calificación de 100 puntos. </w:t>
      </w:r>
    </w:p>
    <w:p w:rsidR="004C17A5" w:rsidRPr="004C17A5" w:rsidRDefault="004C17A5" w:rsidP="004C17A5">
      <w:pPr>
        <w:spacing w:line="276" w:lineRule="auto"/>
        <w:ind w:left="284"/>
        <w:jc w:val="both"/>
        <w:rPr>
          <w:rFonts w:ascii="Arial" w:hAnsi="Arial" w:cs="Arial"/>
          <w:bCs/>
          <w:i/>
          <w:iCs/>
          <w:sz w:val="22"/>
          <w:lang w:val="es-CR"/>
        </w:rPr>
      </w:pPr>
    </w:p>
    <w:p w:rsidR="004C17A5" w:rsidRPr="004C17A5" w:rsidRDefault="004C17A5" w:rsidP="004C17A5">
      <w:pPr>
        <w:spacing w:line="276" w:lineRule="auto"/>
        <w:ind w:left="284"/>
        <w:jc w:val="both"/>
        <w:rPr>
          <w:rFonts w:ascii="Arial" w:hAnsi="Arial" w:cs="Arial"/>
          <w:bCs/>
          <w:i/>
          <w:iCs/>
          <w:sz w:val="22"/>
        </w:rPr>
      </w:pPr>
      <w:r w:rsidRPr="004C17A5">
        <w:rPr>
          <w:rFonts w:ascii="Arial" w:hAnsi="Arial" w:cs="Arial"/>
          <w:bCs/>
          <w:i/>
          <w:iCs/>
          <w:sz w:val="22"/>
          <w:lang w:val="es-CR"/>
        </w:rPr>
        <w:t xml:space="preserve">Por tanto, el Despacho Carvajal &amp; Colegiados Contadores Públicos Autorizados S.A es susceptible a adjudicación, por lo cual se </w:t>
      </w:r>
      <w:r w:rsidRPr="004C17A5">
        <w:rPr>
          <w:rFonts w:ascii="Arial" w:hAnsi="Arial" w:cs="Arial"/>
          <w:bCs/>
          <w:i/>
          <w:iCs/>
          <w:sz w:val="22"/>
        </w:rPr>
        <w:t>procede a conceder el aval correspondiente, para el trámite</w:t>
      </w:r>
      <w:r w:rsidRPr="004C17A5">
        <w:rPr>
          <w:rFonts w:ascii="Arial" w:hAnsi="Arial" w:cs="Arial"/>
          <w:i/>
          <w:iCs/>
          <w:sz w:val="22"/>
          <w:lang w:val="es-CR"/>
        </w:rPr>
        <w:t xml:space="preserve"> ante el Consejo Institucional. </w:t>
      </w:r>
    </w:p>
    <w:p w:rsidR="004C17A5" w:rsidRPr="004C17A5" w:rsidRDefault="004C17A5" w:rsidP="004C17A5">
      <w:pPr>
        <w:keepNext/>
        <w:ind w:left="284" w:firstLine="213"/>
        <w:jc w:val="center"/>
        <w:outlineLvl w:val="0"/>
        <w:rPr>
          <w:rFonts w:ascii="Calibri Light" w:hAnsi="Calibri Light" w:cs="Arial"/>
          <w:b/>
          <w:bCs/>
          <w:i/>
          <w:sz w:val="22"/>
          <w:szCs w:val="22"/>
        </w:rPr>
      </w:pPr>
    </w:p>
    <w:p w:rsidR="004C17A5" w:rsidRPr="004C17A5" w:rsidRDefault="004C17A5" w:rsidP="004C17A5">
      <w:pPr>
        <w:spacing w:after="120"/>
        <w:ind w:left="284" w:right="-29"/>
        <w:jc w:val="both"/>
        <w:rPr>
          <w:rFonts w:ascii="Arial" w:hAnsi="Arial" w:cs="Arial"/>
          <w:bCs/>
          <w:i/>
          <w:sz w:val="22"/>
        </w:rPr>
      </w:pPr>
      <w:r w:rsidRPr="004C17A5">
        <w:rPr>
          <w:rFonts w:ascii="Arial" w:hAnsi="Arial" w:cs="Arial"/>
          <w:bCs/>
          <w:i/>
          <w:sz w:val="22"/>
        </w:rPr>
        <w:t xml:space="preserve">Con base en los resultados del estudio legal y técnico, con fundamento en el oficio </w:t>
      </w:r>
      <w:r w:rsidRPr="004C17A5">
        <w:rPr>
          <w:rFonts w:ascii="Arial" w:hAnsi="Arial" w:cs="Arial"/>
          <w:bCs/>
          <w:i/>
          <w:sz w:val="22"/>
          <w:szCs w:val="22"/>
          <w:lang w:val="es-ES_tradnl"/>
        </w:rPr>
        <w:t>VAD-309-2018, se recomienda adjudicar a:</w:t>
      </w:r>
    </w:p>
    <w:p w:rsidR="004C17A5" w:rsidRPr="004C17A5" w:rsidRDefault="004C17A5" w:rsidP="004C17A5">
      <w:pPr>
        <w:ind w:right="-29"/>
        <w:rPr>
          <w:rFonts w:ascii="Arial" w:hAnsi="Arial" w:cs="Arial"/>
          <w:i/>
          <w:sz w:val="16"/>
          <w:szCs w:val="16"/>
        </w:rPr>
      </w:pPr>
    </w:p>
    <w:p w:rsidR="004C17A5" w:rsidRPr="004C17A5" w:rsidRDefault="004C17A5" w:rsidP="004C17A5">
      <w:pPr>
        <w:ind w:left="567" w:hanging="141"/>
        <w:rPr>
          <w:rFonts w:ascii="Arial" w:hAnsi="Arial" w:cs="Arial"/>
          <w:b/>
          <w:iCs/>
          <w:color w:val="1F497D"/>
          <w:sz w:val="22"/>
          <w:szCs w:val="22"/>
          <w:lang w:val="es-ES_tradnl" w:eastAsia="x-none"/>
        </w:rPr>
      </w:pPr>
      <w:r w:rsidRPr="004C17A5">
        <w:rPr>
          <w:rFonts w:ascii="Arial" w:hAnsi="Arial" w:cs="Arial"/>
          <w:b/>
          <w:iCs/>
          <w:color w:val="1F497D"/>
          <w:sz w:val="22"/>
          <w:szCs w:val="22"/>
          <w:lang w:val="es-ES_tradnl" w:eastAsia="x-none"/>
        </w:rPr>
        <w:t>Carvajal &amp; Colegiados, Contadores Públicos Autorizados S.A.</w:t>
      </w:r>
      <w:r w:rsidRPr="004C17A5">
        <w:rPr>
          <w:rFonts w:ascii="Arial" w:hAnsi="Arial" w:cs="Arial"/>
          <w:b/>
          <w:iCs/>
          <w:color w:val="1F497D"/>
          <w:sz w:val="22"/>
          <w:szCs w:val="22"/>
          <w:lang w:val="es-ES_tradnl" w:eastAsia="x-none"/>
        </w:rPr>
        <w:tab/>
      </w:r>
    </w:p>
    <w:p w:rsidR="004C17A5" w:rsidRPr="004C17A5" w:rsidRDefault="004C17A5" w:rsidP="004C17A5">
      <w:pPr>
        <w:ind w:left="567" w:hanging="141"/>
        <w:rPr>
          <w:rFonts w:ascii="Arial" w:hAnsi="Arial" w:cs="Arial"/>
          <w:b/>
          <w:iCs/>
          <w:color w:val="1F497D"/>
          <w:sz w:val="22"/>
          <w:szCs w:val="22"/>
          <w:lang w:val="es-ES_tradnl" w:eastAsia="x-none"/>
        </w:rPr>
      </w:pPr>
      <w:r w:rsidRPr="004C17A5">
        <w:rPr>
          <w:rFonts w:ascii="Arial" w:hAnsi="Arial" w:cs="Arial"/>
          <w:b/>
          <w:iCs/>
          <w:color w:val="1F497D"/>
          <w:sz w:val="22"/>
          <w:szCs w:val="22"/>
          <w:lang w:val="es-ES_tradnl" w:eastAsia="x-none"/>
        </w:rPr>
        <w:t>Cédula jurídica   N° 3-101-122731-10</w:t>
      </w:r>
    </w:p>
    <w:p w:rsidR="004C17A5" w:rsidRPr="004C17A5" w:rsidRDefault="004C17A5" w:rsidP="004C17A5">
      <w:pPr>
        <w:tabs>
          <w:tab w:val="left" w:pos="567"/>
        </w:tabs>
        <w:rPr>
          <w:rFonts w:ascii="Arial" w:hAnsi="Arial" w:cs="Arial"/>
          <w:sz w:val="22"/>
          <w:szCs w:val="22"/>
          <w:lang w:val="es-ES_tradnl"/>
        </w:rPr>
      </w:pPr>
    </w:p>
    <w:p w:rsidR="004C17A5" w:rsidRPr="004C17A5" w:rsidRDefault="004C17A5" w:rsidP="004C17A5">
      <w:pPr>
        <w:spacing w:line="276" w:lineRule="auto"/>
        <w:ind w:left="284"/>
        <w:jc w:val="both"/>
        <w:rPr>
          <w:rFonts w:ascii="Arial" w:hAnsi="Arial" w:cs="Arial"/>
          <w:bCs/>
          <w:i/>
          <w:iCs/>
          <w:sz w:val="22"/>
          <w:lang w:val="es-CR"/>
        </w:rPr>
      </w:pPr>
      <w:r w:rsidRPr="004C17A5">
        <w:rPr>
          <w:rFonts w:ascii="Arial" w:hAnsi="Arial" w:cs="Arial"/>
          <w:bCs/>
          <w:i/>
          <w:iCs/>
          <w:sz w:val="22"/>
          <w:lang w:val="es-CR"/>
        </w:rPr>
        <w:t xml:space="preserve">Contratación de los servicios para auditar los Estados Financieros 2018 conforme las Normas internacionales de Contabilidad para el Sector Público (NICSP) y la revisión de la Liquidación Presupuestaria conforme a los Lineamientos para la contratación del trabajo para atestiguar con seguridad razonable sobre la elaboración de la liquidación presupuestaria de los entes y órganos sujetos a lo establecido en el numeral 4.3.17 de   las normas técnicas sobre presupuesto público N-1-2012-DC-DFOE., todo de acuerdo al pliego de condiciones y la oferta presentada. </w:t>
      </w:r>
    </w:p>
    <w:p w:rsidR="004C17A5" w:rsidRPr="004C17A5" w:rsidRDefault="004C17A5" w:rsidP="004C17A5">
      <w:pPr>
        <w:ind w:left="425" w:right="397"/>
        <w:jc w:val="both"/>
        <w:rPr>
          <w:rFonts w:ascii="Arial" w:hAnsi="Arial" w:cs="Arial"/>
          <w:bCs/>
          <w:sz w:val="22"/>
          <w:szCs w:val="22"/>
        </w:rPr>
      </w:pPr>
    </w:p>
    <w:p w:rsidR="004C17A5" w:rsidRPr="004C17A5" w:rsidRDefault="004C17A5" w:rsidP="004C17A5">
      <w:pPr>
        <w:tabs>
          <w:tab w:val="left" w:pos="2520"/>
          <w:tab w:val="left" w:pos="3075"/>
        </w:tabs>
        <w:ind w:left="567" w:right="-454" w:hanging="141"/>
        <w:jc w:val="both"/>
        <w:rPr>
          <w:rFonts w:ascii="Arial" w:hAnsi="Arial" w:cs="Arial"/>
          <w:i/>
          <w:sz w:val="22"/>
          <w:szCs w:val="22"/>
          <w:lang w:val="es-CR" w:eastAsia="x-none"/>
        </w:rPr>
      </w:pPr>
      <w:proofErr w:type="gramStart"/>
      <w:r w:rsidRPr="004C17A5">
        <w:rPr>
          <w:rFonts w:ascii="Arial" w:hAnsi="Arial" w:cs="Arial"/>
          <w:b/>
          <w:i/>
          <w:iCs/>
          <w:color w:val="1F497D"/>
          <w:sz w:val="22"/>
          <w:szCs w:val="22"/>
          <w:lang w:val="es-ES_tradnl" w:eastAsia="x-none"/>
        </w:rPr>
        <w:t>Total</w:t>
      </w:r>
      <w:proofErr w:type="gramEnd"/>
      <w:r w:rsidRPr="004C17A5">
        <w:rPr>
          <w:rFonts w:ascii="Arial" w:hAnsi="Arial" w:cs="Arial"/>
          <w:b/>
          <w:i/>
          <w:iCs/>
          <w:color w:val="1F497D"/>
          <w:sz w:val="22"/>
          <w:szCs w:val="22"/>
          <w:lang w:val="es-ES_tradnl" w:eastAsia="x-none"/>
        </w:rPr>
        <w:t xml:space="preserve"> adjudicado:</w:t>
      </w:r>
      <w:r w:rsidRPr="004C17A5">
        <w:rPr>
          <w:rFonts w:ascii="Arial" w:hAnsi="Arial" w:cs="Arial"/>
          <w:b/>
          <w:i/>
          <w:iCs/>
          <w:color w:val="1F497D"/>
          <w:sz w:val="22"/>
          <w:szCs w:val="22"/>
          <w:lang w:val="es-ES_tradnl" w:eastAsia="x-none"/>
        </w:rPr>
        <w:tab/>
        <w:t xml:space="preserve"> </w:t>
      </w:r>
      <w:r w:rsidRPr="004C17A5">
        <w:rPr>
          <w:rFonts w:ascii="Arial" w:hAnsi="Arial" w:cs="Arial"/>
          <w:b/>
          <w:i/>
          <w:iCs/>
          <w:color w:val="1F497D"/>
          <w:sz w:val="22"/>
          <w:szCs w:val="22"/>
          <w:lang w:val="es-ES_tradnl" w:eastAsia="x-none"/>
        </w:rPr>
        <w:tab/>
      </w:r>
      <w:r w:rsidRPr="004C17A5">
        <w:rPr>
          <w:rFonts w:ascii="Arial" w:hAnsi="Arial" w:cs="Arial"/>
          <w:b/>
          <w:i/>
          <w:iCs/>
          <w:color w:val="1F497D"/>
          <w:sz w:val="22"/>
          <w:szCs w:val="22"/>
          <w:lang w:val="es-ES_tradnl" w:eastAsia="x-none"/>
        </w:rPr>
        <w:tab/>
      </w:r>
      <w:r w:rsidRPr="004C17A5">
        <w:rPr>
          <w:rFonts w:ascii="Arial" w:hAnsi="Arial" w:cs="Arial"/>
          <w:b/>
          <w:i/>
          <w:iCs/>
          <w:color w:val="1F497D"/>
          <w:sz w:val="22"/>
          <w:szCs w:val="22"/>
          <w:lang w:val="es-ES_tradnl" w:eastAsia="x-none"/>
        </w:rPr>
        <w:tab/>
      </w:r>
      <w:r w:rsidRPr="004C17A5">
        <w:rPr>
          <w:rFonts w:ascii="Arial" w:hAnsi="Arial" w:cs="Arial"/>
          <w:i/>
          <w:sz w:val="22"/>
          <w:szCs w:val="22"/>
          <w:lang w:val="x-none" w:eastAsia="x-none"/>
        </w:rPr>
        <w:t>¢</w:t>
      </w:r>
      <w:r w:rsidRPr="004C17A5">
        <w:rPr>
          <w:rFonts w:ascii="Arial" w:hAnsi="Arial" w:cs="Arial"/>
          <w:i/>
          <w:sz w:val="22"/>
          <w:szCs w:val="22"/>
          <w:lang w:val="es-CR" w:eastAsia="x-none"/>
        </w:rPr>
        <w:t>6.400.000</w:t>
      </w:r>
      <w:r w:rsidRPr="004C17A5">
        <w:rPr>
          <w:rFonts w:ascii="Arial" w:hAnsi="Arial" w:cs="Arial"/>
          <w:i/>
          <w:sz w:val="22"/>
          <w:szCs w:val="22"/>
          <w:lang w:val="x-none" w:eastAsia="x-none"/>
        </w:rPr>
        <w:t>,00</w:t>
      </w:r>
    </w:p>
    <w:p w:rsidR="004C17A5" w:rsidRPr="004C17A5" w:rsidRDefault="004C17A5" w:rsidP="004C17A5">
      <w:pPr>
        <w:tabs>
          <w:tab w:val="left" w:pos="0"/>
          <w:tab w:val="left" w:pos="2160"/>
          <w:tab w:val="left" w:pos="2520"/>
        </w:tabs>
        <w:ind w:left="567" w:right="-454" w:hanging="141"/>
        <w:rPr>
          <w:rFonts w:ascii="Arial" w:hAnsi="Arial" w:cs="Arial"/>
          <w:b/>
          <w:i/>
          <w:iCs/>
          <w:color w:val="1F497D"/>
          <w:sz w:val="22"/>
          <w:szCs w:val="22"/>
          <w:lang w:val="es-ES_tradnl" w:eastAsia="x-none"/>
        </w:rPr>
      </w:pPr>
      <w:r w:rsidRPr="004C17A5">
        <w:rPr>
          <w:rFonts w:ascii="Arial" w:hAnsi="Arial" w:cs="Arial"/>
          <w:b/>
          <w:i/>
          <w:iCs/>
          <w:color w:val="1F497D"/>
          <w:sz w:val="22"/>
          <w:szCs w:val="22"/>
          <w:lang w:val="es-ES_tradnl" w:eastAsia="x-none"/>
        </w:rPr>
        <w:t>Tiempo de Entrega:</w:t>
      </w:r>
      <w:r w:rsidRPr="004C17A5">
        <w:rPr>
          <w:rFonts w:ascii="Arial" w:hAnsi="Arial" w:cs="Arial"/>
          <w:b/>
          <w:i/>
          <w:iCs/>
          <w:color w:val="1F497D"/>
          <w:sz w:val="22"/>
          <w:szCs w:val="22"/>
          <w:lang w:val="es-ES_tradnl" w:eastAsia="x-none"/>
        </w:rPr>
        <w:tab/>
      </w:r>
      <w:r w:rsidRPr="004C17A5">
        <w:rPr>
          <w:rFonts w:ascii="Arial" w:hAnsi="Arial" w:cs="Arial"/>
          <w:b/>
          <w:i/>
          <w:iCs/>
          <w:color w:val="1F497D"/>
          <w:sz w:val="22"/>
          <w:szCs w:val="22"/>
          <w:lang w:val="es-ES_tradnl" w:eastAsia="x-none"/>
        </w:rPr>
        <w:tab/>
      </w:r>
      <w:r w:rsidRPr="004C17A5">
        <w:rPr>
          <w:rFonts w:ascii="Arial" w:hAnsi="Arial" w:cs="Arial"/>
          <w:b/>
          <w:i/>
          <w:iCs/>
          <w:color w:val="1F497D"/>
          <w:sz w:val="22"/>
          <w:szCs w:val="22"/>
          <w:lang w:val="es-ES_tradnl" w:eastAsia="x-none"/>
        </w:rPr>
        <w:tab/>
      </w:r>
      <w:r w:rsidRPr="004C17A5">
        <w:rPr>
          <w:rFonts w:ascii="Arial" w:hAnsi="Arial" w:cs="Arial"/>
          <w:b/>
          <w:i/>
          <w:iCs/>
          <w:color w:val="1F497D"/>
          <w:sz w:val="22"/>
          <w:szCs w:val="22"/>
          <w:lang w:val="es-ES_tradnl" w:eastAsia="x-none"/>
        </w:rPr>
        <w:tab/>
      </w:r>
      <w:r w:rsidRPr="004C17A5">
        <w:rPr>
          <w:rFonts w:ascii="Arial" w:hAnsi="Arial" w:cs="Arial"/>
          <w:i/>
          <w:sz w:val="22"/>
          <w:szCs w:val="22"/>
          <w:lang w:val="es-ES_tradnl" w:eastAsia="x-none"/>
        </w:rPr>
        <w:t>Según pliego de condiciones</w:t>
      </w:r>
    </w:p>
    <w:p w:rsidR="004C17A5" w:rsidRPr="004C17A5" w:rsidRDefault="004C17A5" w:rsidP="004C17A5">
      <w:pPr>
        <w:widowControl w:val="0"/>
        <w:numPr>
          <w:ilvl w:val="0"/>
          <w:numId w:val="23"/>
        </w:numPr>
        <w:spacing w:before="120" w:after="120"/>
        <w:ind w:left="709" w:hanging="357"/>
        <w:jc w:val="both"/>
        <w:outlineLvl w:val="0"/>
        <w:rPr>
          <w:rFonts w:ascii="Arial" w:hAnsi="Arial" w:cs="Arial"/>
          <w:b/>
          <w:bCs/>
          <w:i/>
          <w:color w:val="0070C0"/>
          <w:kern w:val="32"/>
          <w:sz w:val="22"/>
          <w:szCs w:val="22"/>
        </w:rPr>
      </w:pPr>
      <w:r w:rsidRPr="004C17A5">
        <w:rPr>
          <w:rFonts w:ascii="Arial" w:hAnsi="Arial" w:cs="Arial"/>
          <w:b/>
          <w:bCs/>
          <w:i/>
          <w:color w:val="0070C0"/>
          <w:kern w:val="32"/>
          <w:sz w:val="22"/>
          <w:szCs w:val="22"/>
        </w:rPr>
        <w:t xml:space="preserve">Razones de la recomendación. </w:t>
      </w:r>
    </w:p>
    <w:p w:rsidR="004C17A5" w:rsidRPr="004C17A5" w:rsidRDefault="004C17A5" w:rsidP="004C17A5">
      <w:pPr>
        <w:rPr>
          <w:sz w:val="16"/>
          <w:szCs w:val="16"/>
        </w:rPr>
      </w:pPr>
    </w:p>
    <w:p w:rsidR="004C17A5" w:rsidRPr="004C17A5" w:rsidRDefault="004C17A5" w:rsidP="004C17A5">
      <w:pPr>
        <w:numPr>
          <w:ilvl w:val="1"/>
          <w:numId w:val="23"/>
        </w:numPr>
        <w:ind w:left="1440" w:hanging="589"/>
        <w:jc w:val="both"/>
        <w:rPr>
          <w:rFonts w:ascii="Arial" w:hAnsi="Arial" w:cs="Arial"/>
          <w:i/>
          <w:sz w:val="22"/>
          <w:szCs w:val="22"/>
        </w:rPr>
      </w:pPr>
      <w:r w:rsidRPr="004C17A5">
        <w:rPr>
          <w:rFonts w:ascii="Arial" w:hAnsi="Arial" w:cs="Arial"/>
          <w:i/>
          <w:sz w:val="22"/>
          <w:szCs w:val="22"/>
        </w:rPr>
        <w:t>Es la oferta económicamente más favorable</w:t>
      </w:r>
    </w:p>
    <w:p w:rsidR="004C17A5" w:rsidRPr="004C17A5" w:rsidRDefault="004C17A5" w:rsidP="004C17A5">
      <w:pPr>
        <w:numPr>
          <w:ilvl w:val="1"/>
          <w:numId w:val="23"/>
        </w:numPr>
        <w:ind w:left="1440" w:hanging="589"/>
        <w:jc w:val="both"/>
        <w:rPr>
          <w:rFonts w:ascii="Arial" w:hAnsi="Arial" w:cs="Arial"/>
          <w:i/>
          <w:color w:val="000000"/>
          <w:sz w:val="22"/>
          <w:szCs w:val="22"/>
        </w:rPr>
      </w:pPr>
      <w:r w:rsidRPr="004C17A5">
        <w:rPr>
          <w:rFonts w:ascii="Arial" w:hAnsi="Arial" w:cs="Arial"/>
          <w:i/>
          <w:sz w:val="22"/>
          <w:szCs w:val="22"/>
        </w:rPr>
        <w:t xml:space="preserve">Se cuenta con disponibilidad presupuestaria. </w:t>
      </w:r>
    </w:p>
    <w:p w:rsidR="004C17A5" w:rsidRPr="004C17A5" w:rsidRDefault="004C17A5" w:rsidP="004C17A5">
      <w:pPr>
        <w:numPr>
          <w:ilvl w:val="1"/>
          <w:numId w:val="23"/>
        </w:numPr>
        <w:ind w:left="1440" w:hanging="589"/>
        <w:jc w:val="both"/>
        <w:rPr>
          <w:rFonts w:ascii="Arial" w:hAnsi="Arial" w:cs="Arial"/>
          <w:i/>
          <w:sz w:val="22"/>
          <w:szCs w:val="22"/>
        </w:rPr>
      </w:pPr>
      <w:r w:rsidRPr="004C17A5">
        <w:rPr>
          <w:rFonts w:ascii="Arial" w:hAnsi="Arial" w:cs="Arial"/>
          <w:i/>
          <w:sz w:val="22"/>
          <w:szCs w:val="22"/>
        </w:rPr>
        <w:t>Se toma en consideración la recomendación técnica.</w:t>
      </w:r>
    </w:p>
    <w:p w:rsidR="004C17A5" w:rsidRPr="004C17A5" w:rsidRDefault="004C17A5" w:rsidP="004C17A5">
      <w:pPr>
        <w:numPr>
          <w:ilvl w:val="1"/>
          <w:numId w:val="23"/>
        </w:numPr>
        <w:ind w:left="1440" w:hanging="589"/>
        <w:jc w:val="both"/>
        <w:rPr>
          <w:rFonts w:ascii="Arial" w:hAnsi="Arial" w:cs="Arial"/>
          <w:i/>
          <w:sz w:val="22"/>
          <w:szCs w:val="22"/>
        </w:rPr>
      </w:pPr>
      <w:r w:rsidRPr="004C17A5">
        <w:rPr>
          <w:rFonts w:ascii="Arial" w:hAnsi="Arial" w:cs="Arial"/>
          <w:i/>
          <w:sz w:val="22"/>
          <w:szCs w:val="22"/>
        </w:rPr>
        <w:t xml:space="preserve">Se ajusta a los intereses Institucionales </w:t>
      </w:r>
    </w:p>
    <w:p w:rsidR="004C17A5" w:rsidRPr="004C17A5" w:rsidRDefault="004C17A5" w:rsidP="004C17A5"/>
    <w:p w:rsidR="004C17A5" w:rsidRPr="004C17A5" w:rsidRDefault="004C17A5" w:rsidP="004C17A5">
      <w:pPr>
        <w:numPr>
          <w:ilvl w:val="0"/>
          <w:numId w:val="25"/>
        </w:numPr>
        <w:tabs>
          <w:tab w:val="center" w:pos="4986"/>
        </w:tabs>
        <w:ind w:left="567" w:hanging="567"/>
        <w:contextualSpacing/>
        <w:jc w:val="both"/>
        <w:outlineLvl w:val="0"/>
        <w:rPr>
          <w:rFonts w:ascii="Arial" w:hAnsi="Arial" w:cs="Arial"/>
          <w:bCs/>
        </w:rPr>
      </w:pPr>
      <w:r w:rsidRPr="004C17A5">
        <w:rPr>
          <w:rFonts w:ascii="Arial" w:hAnsi="Arial" w:cs="Arial"/>
          <w:iCs/>
        </w:rPr>
        <w:t xml:space="preserve">La Comisión de Planificación, en reunión No. 798-2018, realizada el jueves 29 de noviembre de 2018, revisa el informe </w:t>
      </w:r>
      <w:proofErr w:type="spellStart"/>
      <w:r w:rsidRPr="004C17A5">
        <w:rPr>
          <w:rFonts w:ascii="Arial" w:hAnsi="Arial" w:cs="Arial"/>
          <w:iCs/>
        </w:rPr>
        <w:t>supracitado</w:t>
      </w:r>
      <w:proofErr w:type="spellEnd"/>
      <w:r w:rsidRPr="004C17A5">
        <w:rPr>
          <w:rFonts w:ascii="Arial" w:hAnsi="Arial" w:cs="Arial"/>
          <w:iCs/>
        </w:rPr>
        <w:t xml:space="preserve">; en esta reunión cuenta con la asistencia del Dr. Humberto Villalta Solano, Vicerrector de Administración, quien expone el informe, realizadas las consultas y aclaradas las dudas, se dispone elevar la propuesta al Consejo Institucional. </w:t>
      </w:r>
    </w:p>
    <w:p w:rsidR="004C17A5" w:rsidRPr="004C17A5" w:rsidRDefault="004C17A5" w:rsidP="004C17A5">
      <w:pPr>
        <w:tabs>
          <w:tab w:val="left" w:pos="180"/>
          <w:tab w:val="left" w:pos="2520"/>
          <w:tab w:val="left" w:pos="5640"/>
          <w:tab w:val="left" w:pos="5940"/>
        </w:tabs>
        <w:ind w:right="-801"/>
        <w:rPr>
          <w:rFonts w:ascii="Arial" w:eastAsia="SimSun" w:hAnsi="Arial" w:cs="Arial"/>
          <w:b/>
          <w:sz w:val="16"/>
          <w:szCs w:val="16"/>
        </w:rPr>
      </w:pPr>
    </w:p>
    <w:p w:rsidR="004C17A5" w:rsidRPr="004C17A5" w:rsidRDefault="004C17A5" w:rsidP="004C17A5">
      <w:pPr>
        <w:numPr>
          <w:ilvl w:val="0"/>
          <w:numId w:val="25"/>
        </w:numPr>
        <w:tabs>
          <w:tab w:val="center" w:pos="4986"/>
        </w:tabs>
        <w:ind w:left="567" w:hanging="567"/>
        <w:contextualSpacing/>
        <w:jc w:val="both"/>
        <w:outlineLvl w:val="0"/>
        <w:rPr>
          <w:rFonts w:ascii="Arial" w:hAnsi="Arial" w:cs="Arial"/>
        </w:rPr>
      </w:pPr>
      <w:r w:rsidRPr="004C17A5">
        <w:rPr>
          <w:rFonts w:ascii="Arial" w:hAnsi="Arial" w:cs="Arial"/>
          <w:bCs/>
        </w:rPr>
        <w:lastRenderedPageBreak/>
        <w:t xml:space="preserve">La </w:t>
      </w:r>
      <w:r w:rsidRPr="004C17A5">
        <w:rPr>
          <w:rFonts w:ascii="Arial" w:hAnsi="Arial" w:cs="Arial"/>
          <w:bCs/>
          <w:lang w:val="es-CR"/>
        </w:rPr>
        <w:t>Secretaría</w:t>
      </w:r>
      <w:r w:rsidRPr="004C17A5">
        <w:rPr>
          <w:rFonts w:ascii="Arial" w:hAnsi="Arial" w:cs="Arial"/>
          <w:bCs/>
        </w:rPr>
        <w:t xml:space="preserve"> del Consejo Institucional, recibe oficio VAD-783-2018, con fecha de recibido 05 de diciembre, suscrito por el Dr. Humberto Villalta Solano, Vicerrector de Administración, dirigido a la </w:t>
      </w:r>
      <w:proofErr w:type="spellStart"/>
      <w:r w:rsidRPr="004C17A5">
        <w:rPr>
          <w:rFonts w:ascii="Arial" w:hAnsi="Arial" w:cs="Arial"/>
          <w:bCs/>
        </w:rPr>
        <w:t>MSc</w:t>
      </w:r>
      <w:proofErr w:type="spellEnd"/>
      <w:r w:rsidRPr="004C17A5">
        <w:rPr>
          <w:rFonts w:ascii="Arial" w:hAnsi="Arial" w:cs="Arial"/>
          <w:bCs/>
        </w:rPr>
        <w:t>. Ana Rosa Ruiz Fernández, Coordinadora de la Comisión de Planificación y Administración, con copia a los Miembros del Consejo Institucional, en el cual s</w:t>
      </w:r>
      <w:r w:rsidRPr="004C17A5">
        <w:rPr>
          <w:rFonts w:ascii="Arial" w:hAnsi="Arial" w:cs="Arial"/>
        </w:rPr>
        <w:t xml:space="preserve">e aclara que por un error material involuntario, en el oficio AP-1833-2018 y en el Informe de Adjudicación de la Licitación Abreviada N° 2018LA-000028-APITCR “Servicio de Auditoría Externa Periodo 2018” se consignó el monto de la adjudicación por ¢6.400.000,00 siendo lo correcto ¢7.360.000,00. Según se puede verificar en el folio 275 del expediente administrativo. Para lo cual se cuenta con el presupuesto respectivo, según certificación de fondos emitida por el Departamento Financiero Contable que consta en el folio 065 y las solicitudes de compra que constan en los folios 001 y 002 del expediente. </w:t>
      </w:r>
    </w:p>
    <w:p w:rsidR="004C17A5" w:rsidRPr="004C17A5" w:rsidRDefault="004C17A5" w:rsidP="004C17A5">
      <w:pPr>
        <w:tabs>
          <w:tab w:val="center" w:pos="4986"/>
        </w:tabs>
        <w:contextualSpacing/>
        <w:jc w:val="both"/>
        <w:outlineLvl w:val="0"/>
        <w:rPr>
          <w:rFonts w:ascii="Arial" w:hAnsi="Arial" w:cs="Arial"/>
          <w:iCs/>
        </w:rPr>
      </w:pPr>
    </w:p>
    <w:p w:rsidR="004C17A5" w:rsidRPr="004C17A5" w:rsidRDefault="004C17A5" w:rsidP="004C17A5">
      <w:pPr>
        <w:numPr>
          <w:ilvl w:val="0"/>
          <w:numId w:val="25"/>
        </w:numPr>
        <w:tabs>
          <w:tab w:val="center" w:pos="4986"/>
        </w:tabs>
        <w:ind w:left="567" w:hanging="567"/>
        <w:contextualSpacing/>
        <w:jc w:val="both"/>
        <w:outlineLvl w:val="0"/>
        <w:rPr>
          <w:rFonts w:ascii="Arial" w:hAnsi="Arial" w:cs="Arial"/>
          <w:iCs/>
        </w:rPr>
      </w:pPr>
      <w:r w:rsidRPr="004C17A5">
        <w:rPr>
          <w:rFonts w:ascii="Arial" w:hAnsi="Arial" w:cs="Arial"/>
          <w:iCs/>
        </w:rPr>
        <w:t xml:space="preserve">De acuerdo a lo anterior, se dispone elevar la propuesta al Consejo Institucional. </w:t>
      </w:r>
    </w:p>
    <w:p w:rsidR="004C17A5" w:rsidRPr="004C17A5" w:rsidRDefault="004C17A5" w:rsidP="004C17A5">
      <w:pPr>
        <w:tabs>
          <w:tab w:val="left" w:pos="180"/>
          <w:tab w:val="left" w:pos="2520"/>
          <w:tab w:val="left" w:pos="5640"/>
          <w:tab w:val="left" w:pos="5940"/>
        </w:tabs>
        <w:ind w:right="-801"/>
        <w:rPr>
          <w:rFonts w:ascii="Arial" w:eastAsia="SimSun" w:hAnsi="Arial" w:cs="Arial"/>
          <w:b/>
          <w:sz w:val="16"/>
          <w:szCs w:val="16"/>
        </w:rPr>
      </w:pPr>
    </w:p>
    <w:p w:rsidR="004C17A5" w:rsidRPr="004C17A5" w:rsidRDefault="004C17A5" w:rsidP="004C17A5">
      <w:pPr>
        <w:tabs>
          <w:tab w:val="left" w:pos="180"/>
          <w:tab w:val="left" w:pos="2520"/>
          <w:tab w:val="left" w:pos="5640"/>
          <w:tab w:val="left" w:pos="5940"/>
        </w:tabs>
        <w:ind w:right="-801"/>
        <w:rPr>
          <w:rFonts w:ascii="Arial" w:eastAsia="SimSun" w:hAnsi="Arial" w:cs="Arial"/>
          <w:b/>
          <w:sz w:val="16"/>
          <w:szCs w:val="16"/>
        </w:rPr>
      </w:pPr>
    </w:p>
    <w:p w:rsidR="004C17A5" w:rsidRPr="004C17A5" w:rsidRDefault="004C17A5" w:rsidP="004C17A5">
      <w:pPr>
        <w:autoSpaceDE w:val="0"/>
        <w:autoSpaceDN w:val="0"/>
        <w:adjustRightInd w:val="0"/>
        <w:jc w:val="both"/>
        <w:rPr>
          <w:rFonts w:ascii="Arial" w:hAnsi="Arial" w:cs="Arial"/>
          <w:b/>
          <w:bCs/>
          <w:lang w:val="es-CR" w:eastAsia="es-CR"/>
        </w:rPr>
      </w:pPr>
      <w:r w:rsidRPr="004C17A5">
        <w:rPr>
          <w:rFonts w:ascii="Arial" w:hAnsi="Arial" w:cs="Arial"/>
          <w:b/>
          <w:bCs/>
          <w:lang w:val="es-CR" w:eastAsia="es-CR"/>
        </w:rPr>
        <w:t>SE</w:t>
      </w:r>
      <w:r>
        <w:rPr>
          <w:rFonts w:ascii="Arial" w:hAnsi="Arial" w:cs="Arial"/>
          <w:b/>
          <w:bCs/>
          <w:lang w:val="es-CR" w:eastAsia="es-CR"/>
        </w:rPr>
        <w:t xml:space="preserve"> ACUERDA</w:t>
      </w:r>
      <w:r w:rsidRPr="004C17A5">
        <w:rPr>
          <w:rFonts w:ascii="Arial" w:hAnsi="Arial" w:cs="Arial"/>
          <w:b/>
          <w:bCs/>
          <w:lang w:val="es-CR" w:eastAsia="es-CR"/>
        </w:rPr>
        <w:t>:</w:t>
      </w:r>
    </w:p>
    <w:p w:rsidR="004C17A5" w:rsidRPr="004C17A5" w:rsidRDefault="004C17A5" w:rsidP="004C17A5">
      <w:pPr>
        <w:autoSpaceDE w:val="0"/>
        <w:autoSpaceDN w:val="0"/>
        <w:adjustRightInd w:val="0"/>
        <w:ind w:firstLine="567"/>
        <w:jc w:val="both"/>
        <w:rPr>
          <w:rFonts w:ascii="Arial" w:hAnsi="Arial" w:cs="Arial"/>
          <w:b/>
          <w:bCs/>
          <w:sz w:val="16"/>
          <w:szCs w:val="16"/>
          <w:lang w:val="es-CR" w:eastAsia="es-CR"/>
        </w:rPr>
      </w:pPr>
    </w:p>
    <w:p w:rsidR="004C17A5" w:rsidRPr="004C17A5" w:rsidRDefault="004C17A5" w:rsidP="004C17A5">
      <w:pPr>
        <w:numPr>
          <w:ilvl w:val="2"/>
          <w:numId w:val="31"/>
        </w:numPr>
        <w:ind w:left="567" w:hanging="567"/>
        <w:jc w:val="both"/>
        <w:rPr>
          <w:rFonts w:ascii="Arial" w:hAnsi="Arial" w:cs="Arial"/>
          <w:bCs/>
        </w:rPr>
      </w:pPr>
      <w:r w:rsidRPr="004C17A5">
        <w:rPr>
          <w:rFonts w:ascii="Arial" w:eastAsia="Calibri" w:hAnsi="Arial" w:cs="Arial"/>
          <w:iCs/>
          <w:lang w:val="es-ES_tradnl"/>
        </w:rPr>
        <w:t xml:space="preserve">Adjudicar </w:t>
      </w:r>
      <w:r w:rsidRPr="004C17A5">
        <w:rPr>
          <w:rFonts w:ascii="Arial" w:hAnsi="Arial" w:cs="Arial"/>
          <w:bCs/>
        </w:rPr>
        <w:t xml:space="preserve">la </w:t>
      </w:r>
      <w:r w:rsidRPr="004C17A5">
        <w:rPr>
          <w:rFonts w:ascii="Arial" w:eastAsia="Calibri" w:hAnsi="Arial" w:cs="Arial"/>
          <w:iCs/>
          <w:lang w:val="es-ES_tradnl"/>
        </w:rPr>
        <w:t xml:space="preserve">Licitación Abreviada Nº 2018LA-000028-APITCR, “Servicio de Auditoría Externa Periodo 2018, </w:t>
      </w:r>
      <w:r w:rsidRPr="004C17A5">
        <w:rPr>
          <w:rFonts w:ascii="Arial" w:hAnsi="Arial" w:cs="Arial"/>
          <w:bCs/>
        </w:rPr>
        <w:t xml:space="preserve">de acuerdo con el Informe Técnico adjunto al oficio VAD-730-2018, a la Empresa </w:t>
      </w:r>
      <w:r w:rsidRPr="004C17A5">
        <w:rPr>
          <w:rFonts w:ascii="Arial" w:eastAsia="Calibri" w:hAnsi="Arial" w:cs="Arial"/>
          <w:iCs/>
          <w:lang w:val="es-ES_tradnl"/>
        </w:rPr>
        <w:t>Carvajal &amp; Colegiados, Contadores Públicos Autorizados S.A., Cédula jurídica   N° 3-101-122731-10</w:t>
      </w:r>
      <w:r w:rsidRPr="004C17A5">
        <w:rPr>
          <w:rFonts w:ascii="Arial" w:eastAsia="SimSun" w:hAnsi="Arial" w:cs="Arial"/>
          <w:bCs/>
          <w:iCs/>
        </w:rPr>
        <w:t xml:space="preserve">, </w:t>
      </w:r>
      <w:r w:rsidRPr="004C17A5">
        <w:rPr>
          <w:rFonts w:ascii="Arial" w:hAnsi="Arial" w:cs="Arial"/>
          <w:bCs/>
        </w:rPr>
        <w:t>en razón de que la oferta se ajusta a lo solicitado en el Cartel de la Licitación, como se detalla a continuación:</w:t>
      </w:r>
    </w:p>
    <w:p w:rsidR="004C17A5" w:rsidRPr="004C17A5" w:rsidRDefault="004C17A5" w:rsidP="004C17A5">
      <w:pPr>
        <w:jc w:val="both"/>
        <w:rPr>
          <w:rFonts w:ascii="Arial" w:hAnsi="Arial" w:cs="Arial"/>
          <w:bCs/>
        </w:rPr>
      </w:pPr>
    </w:p>
    <w:p w:rsidR="004C17A5" w:rsidRPr="004C17A5" w:rsidRDefault="004C17A5" w:rsidP="004C17A5">
      <w:pPr>
        <w:ind w:left="426"/>
        <w:jc w:val="both"/>
        <w:rPr>
          <w:rFonts w:ascii="Arial" w:hAnsi="Arial" w:cs="Arial"/>
          <w:bCs/>
          <w:i/>
        </w:rPr>
      </w:pPr>
      <w:proofErr w:type="gramStart"/>
      <w:r w:rsidRPr="004C17A5">
        <w:rPr>
          <w:rFonts w:ascii="Arial" w:hAnsi="Arial" w:cs="Arial"/>
          <w:bCs/>
          <w:i/>
        </w:rPr>
        <w:t>Total</w:t>
      </w:r>
      <w:proofErr w:type="gramEnd"/>
      <w:r w:rsidRPr="004C17A5">
        <w:rPr>
          <w:rFonts w:ascii="Arial" w:hAnsi="Arial" w:cs="Arial"/>
          <w:bCs/>
          <w:i/>
        </w:rPr>
        <w:t xml:space="preserve"> adjudicado:</w:t>
      </w:r>
      <w:r w:rsidRPr="004C17A5">
        <w:rPr>
          <w:rFonts w:ascii="Arial" w:hAnsi="Arial" w:cs="Arial"/>
          <w:bCs/>
          <w:i/>
        </w:rPr>
        <w:tab/>
        <w:t xml:space="preserve"> </w:t>
      </w:r>
      <w:r w:rsidRPr="004C17A5">
        <w:rPr>
          <w:rFonts w:ascii="Arial" w:hAnsi="Arial" w:cs="Arial"/>
          <w:bCs/>
          <w:i/>
        </w:rPr>
        <w:tab/>
      </w:r>
      <w:r w:rsidRPr="004C17A5">
        <w:rPr>
          <w:rFonts w:ascii="Arial" w:hAnsi="Arial" w:cs="Arial"/>
          <w:bCs/>
          <w:i/>
        </w:rPr>
        <w:tab/>
      </w:r>
      <w:r w:rsidRPr="004C17A5">
        <w:rPr>
          <w:rFonts w:ascii="Arial" w:hAnsi="Arial" w:cs="Arial"/>
          <w:bCs/>
          <w:i/>
        </w:rPr>
        <w:tab/>
      </w:r>
      <w:r w:rsidRPr="004C17A5">
        <w:rPr>
          <w:rFonts w:ascii="Arial" w:hAnsi="Arial" w:cs="Arial"/>
        </w:rPr>
        <w:t>¢7.360.000,00</w:t>
      </w:r>
    </w:p>
    <w:p w:rsidR="004C17A5" w:rsidRPr="004C17A5" w:rsidRDefault="004C17A5" w:rsidP="004C17A5">
      <w:pPr>
        <w:ind w:left="426"/>
        <w:jc w:val="both"/>
        <w:rPr>
          <w:rFonts w:ascii="Arial" w:hAnsi="Arial" w:cs="Arial"/>
          <w:bCs/>
          <w:i/>
        </w:rPr>
      </w:pPr>
      <w:r w:rsidRPr="004C17A5">
        <w:rPr>
          <w:rFonts w:ascii="Arial" w:hAnsi="Arial" w:cs="Arial"/>
          <w:bCs/>
          <w:i/>
        </w:rPr>
        <w:t>Tiempo de Entrega:</w:t>
      </w:r>
      <w:r w:rsidRPr="004C17A5">
        <w:rPr>
          <w:rFonts w:ascii="Arial" w:hAnsi="Arial" w:cs="Arial"/>
          <w:bCs/>
          <w:i/>
        </w:rPr>
        <w:tab/>
      </w:r>
      <w:r w:rsidRPr="004C17A5">
        <w:rPr>
          <w:rFonts w:ascii="Arial" w:hAnsi="Arial" w:cs="Arial"/>
          <w:bCs/>
          <w:i/>
        </w:rPr>
        <w:tab/>
      </w:r>
      <w:r w:rsidRPr="004C17A5">
        <w:rPr>
          <w:rFonts w:ascii="Arial" w:hAnsi="Arial" w:cs="Arial"/>
          <w:bCs/>
          <w:i/>
        </w:rPr>
        <w:tab/>
      </w:r>
      <w:r w:rsidRPr="004C17A5">
        <w:rPr>
          <w:rFonts w:ascii="Arial" w:hAnsi="Arial" w:cs="Arial"/>
          <w:bCs/>
          <w:i/>
        </w:rPr>
        <w:tab/>
        <w:t>Según pliego de condiciones</w:t>
      </w:r>
    </w:p>
    <w:p w:rsidR="00524A7F" w:rsidRDefault="00524A7F" w:rsidP="007742A1">
      <w:pPr>
        <w:jc w:val="both"/>
        <w:rPr>
          <w:rFonts w:ascii="Arial" w:eastAsia="Cambria" w:hAnsi="Arial" w:cs="Arial"/>
          <w:lang w:val="es-ES_tradnl" w:eastAsia="en-US"/>
        </w:rPr>
      </w:pPr>
    </w:p>
    <w:p w:rsidR="00524A7F" w:rsidRPr="00524A7F" w:rsidRDefault="00524A7F" w:rsidP="009E13E5">
      <w:pPr>
        <w:jc w:val="both"/>
        <w:rPr>
          <w:rFonts w:ascii="Arial" w:hAnsi="Arial" w:cs="Arial"/>
          <w:color w:val="000000"/>
          <w:lang w:val="es-CR"/>
        </w:rPr>
      </w:pPr>
    </w:p>
    <w:p w:rsidR="00215C41" w:rsidRPr="00E40E2A" w:rsidRDefault="00BB6A5E" w:rsidP="004C17A5">
      <w:pPr>
        <w:numPr>
          <w:ilvl w:val="2"/>
          <w:numId w:val="31"/>
        </w:numPr>
        <w:ind w:left="567" w:hanging="567"/>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E40E2A" w:rsidRDefault="00E40E2A" w:rsidP="00E40E2A">
      <w:pPr>
        <w:pStyle w:val="Prrafodelista"/>
        <w:rPr>
          <w:rFonts w:ascii="Arial" w:hAnsi="Arial" w:cs="Arial"/>
        </w:rPr>
      </w:pPr>
    </w:p>
    <w:p w:rsidR="004C17A5" w:rsidRPr="004C17A5" w:rsidRDefault="004C17A5" w:rsidP="004C17A5">
      <w:pPr>
        <w:rPr>
          <w:rFonts w:ascii="Arial" w:eastAsia="Calibri" w:hAnsi="Arial" w:cs="Arial"/>
          <w:b/>
          <w:iCs/>
          <w:sz w:val="20"/>
          <w:szCs w:val="20"/>
          <w:lang w:val="es-ES_tradnl"/>
        </w:rPr>
      </w:pPr>
      <w:r w:rsidRPr="004C17A5">
        <w:rPr>
          <w:rFonts w:ascii="Arial" w:eastAsia="Calibri" w:hAnsi="Arial" w:cs="Arial"/>
          <w:b/>
          <w:iCs/>
          <w:sz w:val="20"/>
          <w:szCs w:val="20"/>
          <w:lang w:val="es-ES_tradnl"/>
        </w:rPr>
        <w:t>Palabras clave:  Adjudicación- Licitación - N° 2018LA-000028-APITCR - “Servicio - Auditoría Externa – Periodo - 2018</w:t>
      </w:r>
    </w:p>
    <w:p w:rsidR="00F41610" w:rsidRDefault="00F41610" w:rsidP="00F41610">
      <w:pPr>
        <w:autoSpaceDE w:val="0"/>
        <w:autoSpaceDN w:val="0"/>
        <w:adjustRightInd w:val="0"/>
        <w:jc w:val="both"/>
        <w:rPr>
          <w:rFonts w:ascii="Arial" w:hAnsi="Arial" w:cs="Arial"/>
          <w:b/>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3651A" w:rsidRPr="00D31E17" w:rsidRDefault="00C413F4" w:rsidP="00F41044">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14"/>
      <w:footerReference w:type="default" r:id="rId15"/>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1AC" w:rsidRDefault="005011AC">
      <w:r>
        <w:separator/>
      </w:r>
    </w:p>
  </w:endnote>
  <w:endnote w:type="continuationSeparator" w:id="0">
    <w:p w:rsidR="005011AC" w:rsidRDefault="0050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1AC" w:rsidRDefault="005011AC">
      <w:r>
        <w:separator/>
      </w:r>
    </w:p>
  </w:footnote>
  <w:footnote w:type="continuationSeparator" w:id="0">
    <w:p w:rsidR="005011AC" w:rsidRDefault="00501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234C79">
      <w:rPr>
        <w:rFonts w:ascii="Arial" w:eastAsia="Cambria" w:hAnsi="Arial" w:cs="Arial"/>
        <w:i/>
        <w:sz w:val="18"/>
        <w:szCs w:val="18"/>
        <w:lang w:val="es-ES_tradnl" w:eastAsia="x-none"/>
      </w:rPr>
      <w:t>100</w:t>
    </w:r>
    <w:r w:rsidRPr="00D958BC">
      <w:rPr>
        <w:rFonts w:ascii="Arial" w:eastAsia="Cambria" w:hAnsi="Arial" w:cs="Arial"/>
        <w:i/>
        <w:sz w:val="18"/>
        <w:szCs w:val="18"/>
        <w:lang w:val="es-ES_tradnl" w:eastAsia="x-none"/>
      </w:rPr>
      <w:t xml:space="preserve">, Artículo </w:t>
    </w:r>
    <w:r w:rsidR="004C17A5">
      <w:rPr>
        <w:rFonts w:ascii="Arial" w:eastAsia="Cambria" w:hAnsi="Arial" w:cs="Arial"/>
        <w:i/>
        <w:sz w:val="18"/>
        <w:szCs w:val="18"/>
        <w:lang w:val="es-ES_tradnl" w:eastAsia="x-none"/>
      </w:rPr>
      <w:t>12</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234C79">
      <w:rPr>
        <w:rFonts w:ascii="Arial" w:eastAsia="Cambria" w:hAnsi="Arial" w:cs="Arial"/>
        <w:i/>
        <w:sz w:val="18"/>
        <w:szCs w:val="18"/>
        <w:lang w:val="es-ES_tradnl" w:eastAsia="x-none"/>
      </w:rPr>
      <w:t>05</w:t>
    </w:r>
    <w:r>
      <w:rPr>
        <w:rFonts w:ascii="Arial" w:eastAsia="Cambria" w:hAnsi="Arial" w:cs="Arial"/>
        <w:i/>
        <w:sz w:val="18"/>
        <w:szCs w:val="18"/>
        <w:lang w:val="es-ES_tradnl" w:eastAsia="x-none"/>
      </w:rPr>
      <w:t xml:space="preserve"> de </w:t>
    </w:r>
    <w:r w:rsidR="00234C79">
      <w:rPr>
        <w:rFonts w:ascii="Arial" w:eastAsia="Cambria" w:hAnsi="Arial" w:cs="Arial"/>
        <w:i/>
        <w:sz w:val="18"/>
        <w:szCs w:val="18"/>
        <w:lang w:val="es-ES_tradnl" w:eastAsia="x-none"/>
      </w:rPr>
      <w:t>dic</w:t>
    </w:r>
    <w:r>
      <w:rPr>
        <w:rFonts w:ascii="Arial" w:eastAsia="Cambria" w:hAnsi="Arial" w:cs="Arial"/>
        <w:i/>
        <w:sz w:val="18"/>
        <w:szCs w:val="18"/>
        <w:lang w:val="es-ES_tradnl" w:eastAsia="x-none"/>
      </w:rPr>
      <w:t xml:space="preserve">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8</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16744E">
      <w:rPr>
        <w:rFonts w:ascii="Arial" w:eastAsia="Cambria" w:hAnsi="Arial" w:cs="Arial"/>
        <w:i/>
        <w:noProof/>
        <w:sz w:val="18"/>
        <w:szCs w:val="18"/>
        <w:lang w:val="es-ES_tradnl" w:eastAsia="x-none"/>
      </w:rPr>
      <w:t>9</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F1166"/>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8F6C7B"/>
    <w:multiLevelType w:val="hybridMultilevel"/>
    <w:tmpl w:val="CB6A5458"/>
    <w:lvl w:ilvl="0" w:tplc="8056C592">
      <w:start w:val="1"/>
      <w:numFmt w:val="lowerLetter"/>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A24CD7"/>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5" w15:restartNumberingAfterBreak="0">
    <w:nsid w:val="0CE97CA6"/>
    <w:multiLevelType w:val="hybridMultilevel"/>
    <w:tmpl w:val="A77E40EA"/>
    <w:lvl w:ilvl="0" w:tplc="A98E4116">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3914FFE"/>
    <w:multiLevelType w:val="hybridMultilevel"/>
    <w:tmpl w:val="3C2CC12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B12C9944">
      <w:start w:val="1"/>
      <w:numFmt w:val="lowerLetter"/>
      <w:lvlText w:val="%3."/>
      <w:lvlJc w:val="left"/>
      <w:pPr>
        <w:ind w:left="2160" w:hanging="18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97419E4"/>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8" w15:restartNumberingAfterBreak="0">
    <w:nsid w:val="1A8234E4"/>
    <w:multiLevelType w:val="hybridMultilevel"/>
    <w:tmpl w:val="AEB4B03E"/>
    <w:lvl w:ilvl="0" w:tplc="140A000B">
      <w:start w:val="1"/>
      <w:numFmt w:val="bullet"/>
      <w:lvlText w:val=""/>
      <w:lvlJc w:val="left"/>
      <w:pPr>
        <w:ind w:left="712" w:hanging="360"/>
      </w:pPr>
      <w:rPr>
        <w:rFonts w:ascii="Wingdings" w:hAnsi="Wingdings" w:hint="default"/>
      </w:rPr>
    </w:lvl>
    <w:lvl w:ilvl="1" w:tplc="140A0003" w:tentative="1">
      <w:start w:val="1"/>
      <w:numFmt w:val="bullet"/>
      <w:lvlText w:val="o"/>
      <w:lvlJc w:val="left"/>
      <w:pPr>
        <w:ind w:left="1432" w:hanging="360"/>
      </w:pPr>
      <w:rPr>
        <w:rFonts w:ascii="Courier New" w:hAnsi="Courier New" w:cs="Courier New" w:hint="default"/>
      </w:rPr>
    </w:lvl>
    <w:lvl w:ilvl="2" w:tplc="140A0005" w:tentative="1">
      <w:start w:val="1"/>
      <w:numFmt w:val="bullet"/>
      <w:lvlText w:val=""/>
      <w:lvlJc w:val="left"/>
      <w:pPr>
        <w:ind w:left="2152" w:hanging="360"/>
      </w:pPr>
      <w:rPr>
        <w:rFonts w:ascii="Wingdings" w:hAnsi="Wingdings" w:hint="default"/>
      </w:rPr>
    </w:lvl>
    <w:lvl w:ilvl="3" w:tplc="140A0001" w:tentative="1">
      <w:start w:val="1"/>
      <w:numFmt w:val="bullet"/>
      <w:lvlText w:val=""/>
      <w:lvlJc w:val="left"/>
      <w:pPr>
        <w:ind w:left="2872" w:hanging="360"/>
      </w:pPr>
      <w:rPr>
        <w:rFonts w:ascii="Symbol" w:hAnsi="Symbol" w:hint="default"/>
      </w:rPr>
    </w:lvl>
    <w:lvl w:ilvl="4" w:tplc="140A0003" w:tentative="1">
      <w:start w:val="1"/>
      <w:numFmt w:val="bullet"/>
      <w:lvlText w:val="o"/>
      <w:lvlJc w:val="left"/>
      <w:pPr>
        <w:ind w:left="3592" w:hanging="360"/>
      </w:pPr>
      <w:rPr>
        <w:rFonts w:ascii="Courier New" w:hAnsi="Courier New" w:cs="Courier New" w:hint="default"/>
      </w:rPr>
    </w:lvl>
    <w:lvl w:ilvl="5" w:tplc="140A0005" w:tentative="1">
      <w:start w:val="1"/>
      <w:numFmt w:val="bullet"/>
      <w:lvlText w:val=""/>
      <w:lvlJc w:val="left"/>
      <w:pPr>
        <w:ind w:left="4312" w:hanging="360"/>
      </w:pPr>
      <w:rPr>
        <w:rFonts w:ascii="Wingdings" w:hAnsi="Wingdings" w:hint="default"/>
      </w:rPr>
    </w:lvl>
    <w:lvl w:ilvl="6" w:tplc="140A0001" w:tentative="1">
      <w:start w:val="1"/>
      <w:numFmt w:val="bullet"/>
      <w:lvlText w:val=""/>
      <w:lvlJc w:val="left"/>
      <w:pPr>
        <w:ind w:left="5032" w:hanging="360"/>
      </w:pPr>
      <w:rPr>
        <w:rFonts w:ascii="Symbol" w:hAnsi="Symbol" w:hint="default"/>
      </w:rPr>
    </w:lvl>
    <w:lvl w:ilvl="7" w:tplc="140A0003" w:tentative="1">
      <w:start w:val="1"/>
      <w:numFmt w:val="bullet"/>
      <w:lvlText w:val="o"/>
      <w:lvlJc w:val="left"/>
      <w:pPr>
        <w:ind w:left="5752" w:hanging="360"/>
      </w:pPr>
      <w:rPr>
        <w:rFonts w:ascii="Courier New" w:hAnsi="Courier New" w:cs="Courier New" w:hint="default"/>
      </w:rPr>
    </w:lvl>
    <w:lvl w:ilvl="8" w:tplc="140A0005" w:tentative="1">
      <w:start w:val="1"/>
      <w:numFmt w:val="bullet"/>
      <w:lvlText w:val=""/>
      <w:lvlJc w:val="left"/>
      <w:pPr>
        <w:ind w:left="6472" w:hanging="360"/>
      </w:pPr>
      <w:rPr>
        <w:rFonts w:ascii="Wingdings" w:hAnsi="Wingdings" w:hint="default"/>
      </w:rPr>
    </w:lvl>
  </w:abstractNum>
  <w:abstractNum w:abstractNumId="9" w15:restartNumberingAfterBreak="0">
    <w:nsid w:val="2329039A"/>
    <w:multiLevelType w:val="hybridMultilevel"/>
    <w:tmpl w:val="CB6A5458"/>
    <w:lvl w:ilvl="0" w:tplc="8056C592">
      <w:start w:val="1"/>
      <w:numFmt w:val="lowerLetter"/>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FA10167"/>
    <w:multiLevelType w:val="hybridMultilevel"/>
    <w:tmpl w:val="CF8494AE"/>
    <w:lvl w:ilvl="0" w:tplc="71FC29A0">
      <w:start w:val="1"/>
      <w:numFmt w:val="lowerLetter"/>
      <w:lvlText w:val="%1."/>
      <w:lvlJc w:val="left"/>
      <w:pPr>
        <w:ind w:left="436" w:hanging="360"/>
      </w:pPr>
      <w:rPr>
        <w:b/>
        <w:sz w:val="22"/>
      </w:rPr>
    </w:lvl>
    <w:lvl w:ilvl="1" w:tplc="140A0019" w:tentative="1">
      <w:start w:val="1"/>
      <w:numFmt w:val="lowerLetter"/>
      <w:lvlText w:val="%2."/>
      <w:lvlJc w:val="left"/>
      <w:pPr>
        <w:ind w:left="1156" w:hanging="360"/>
      </w:pPr>
    </w:lvl>
    <w:lvl w:ilvl="2" w:tplc="140A001B" w:tentative="1">
      <w:start w:val="1"/>
      <w:numFmt w:val="lowerRoman"/>
      <w:lvlText w:val="%3."/>
      <w:lvlJc w:val="right"/>
      <w:pPr>
        <w:ind w:left="1876" w:hanging="180"/>
      </w:pPr>
    </w:lvl>
    <w:lvl w:ilvl="3" w:tplc="140A000F" w:tentative="1">
      <w:start w:val="1"/>
      <w:numFmt w:val="decimal"/>
      <w:lvlText w:val="%4."/>
      <w:lvlJc w:val="left"/>
      <w:pPr>
        <w:ind w:left="2596" w:hanging="360"/>
      </w:pPr>
    </w:lvl>
    <w:lvl w:ilvl="4" w:tplc="140A0019" w:tentative="1">
      <w:start w:val="1"/>
      <w:numFmt w:val="lowerLetter"/>
      <w:lvlText w:val="%5."/>
      <w:lvlJc w:val="left"/>
      <w:pPr>
        <w:ind w:left="3316" w:hanging="360"/>
      </w:pPr>
    </w:lvl>
    <w:lvl w:ilvl="5" w:tplc="140A001B" w:tentative="1">
      <w:start w:val="1"/>
      <w:numFmt w:val="lowerRoman"/>
      <w:lvlText w:val="%6."/>
      <w:lvlJc w:val="right"/>
      <w:pPr>
        <w:ind w:left="4036" w:hanging="180"/>
      </w:pPr>
    </w:lvl>
    <w:lvl w:ilvl="6" w:tplc="140A000F" w:tentative="1">
      <w:start w:val="1"/>
      <w:numFmt w:val="decimal"/>
      <w:lvlText w:val="%7."/>
      <w:lvlJc w:val="left"/>
      <w:pPr>
        <w:ind w:left="4756" w:hanging="360"/>
      </w:pPr>
    </w:lvl>
    <w:lvl w:ilvl="7" w:tplc="140A0019" w:tentative="1">
      <w:start w:val="1"/>
      <w:numFmt w:val="lowerLetter"/>
      <w:lvlText w:val="%8."/>
      <w:lvlJc w:val="left"/>
      <w:pPr>
        <w:ind w:left="5476" w:hanging="360"/>
      </w:pPr>
    </w:lvl>
    <w:lvl w:ilvl="8" w:tplc="140A001B" w:tentative="1">
      <w:start w:val="1"/>
      <w:numFmt w:val="lowerRoman"/>
      <w:lvlText w:val="%9."/>
      <w:lvlJc w:val="right"/>
      <w:pPr>
        <w:ind w:left="6196" w:hanging="180"/>
      </w:pPr>
    </w:lvl>
  </w:abstractNum>
  <w:abstractNum w:abstractNumId="11" w15:restartNumberingAfterBreak="0">
    <w:nsid w:val="3FAF5578"/>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12" w15:restartNumberingAfterBreak="0">
    <w:nsid w:val="424875EF"/>
    <w:multiLevelType w:val="hybridMultilevel"/>
    <w:tmpl w:val="CB6A5458"/>
    <w:lvl w:ilvl="0" w:tplc="8056C592">
      <w:start w:val="1"/>
      <w:numFmt w:val="lowerLetter"/>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3DA4D70"/>
    <w:multiLevelType w:val="hybridMultilevel"/>
    <w:tmpl w:val="372AB89C"/>
    <w:lvl w:ilvl="0" w:tplc="1E74AAB4">
      <w:start w:val="1"/>
      <w:numFmt w:val="lowerLetter"/>
      <w:lvlText w:val="%1."/>
      <w:lvlJc w:val="left"/>
      <w:pPr>
        <w:ind w:left="1146" w:hanging="360"/>
      </w:pPr>
      <w:rPr>
        <w:rFonts w:hint="default"/>
        <w:b/>
      </w:rPr>
    </w:lvl>
    <w:lvl w:ilvl="1" w:tplc="140A000F">
      <w:start w:val="1"/>
      <w:numFmt w:val="decimal"/>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4" w15:restartNumberingAfterBreak="0">
    <w:nsid w:val="535944AD"/>
    <w:multiLevelType w:val="hybridMultilevel"/>
    <w:tmpl w:val="D472A6C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64F586A"/>
    <w:multiLevelType w:val="hybridMultilevel"/>
    <w:tmpl w:val="39828B76"/>
    <w:lvl w:ilvl="0" w:tplc="D114A8D0">
      <w:start w:val="1"/>
      <w:numFmt w:val="decimal"/>
      <w:lvlText w:val="%1."/>
      <w:lvlJc w:val="left"/>
      <w:pPr>
        <w:ind w:left="720" w:hanging="360"/>
      </w:pPr>
      <w:rPr>
        <w:rFonts w:ascii="Arial" w:hAnsi="Arial" w:hint="default"/>
        <w:b w:val="0"/>
        <w:i/>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6C57DB2"/>
    <w:multiLevelType w:val="hybridMultilevel"/>
    <w:tmpl w:val="2B723572"/>
    <w:lvl w:ilvl="0" w:tplc="0C02E344">
      <w:start w:val="1"/>
      <w:numFmt w:val="decimal"/>
      <w:lvlText w:val="%1."/>
      <w:lvlJc w:val="left"/>
      <w:pPr>
        <w:tabs>
          <w:tab w:val="num" w:pos="8582"/>
        </w:tabs>
        <w:ind w:left="8582" w:hanging="360"/>
      </w:pPr>
      <w:rPr>
        <w:rFonts w:hint="default"/>
        <w:strike w:val="0"/>
        <w:dstrike w:val="0"/>
        <w:sz w:val="22"/>
        <w:szCs w:val="22"/>
        <w:vertAlign w:val="baseline"/>
      </w:rPr>
    </w:lvl>
    <w:lvl w:ilvl="1" w:tplc="DC322A4C">
      <w:start w:val="1"/>
      <w:numFmt w:val="decimal"/>
      <w:lvlText w:val="%2."/>
      <w:lvlJc w:val="left"/>
      <w:pPr>
        <w:tabs>
          <w:tab w:val="num" w:pos="8102"/>
        </w:tabs>
        <w:ind w:left="8102" w:hanging="360"/>
      </w:pPr>
      <w:rPr>
        <w:rFonts w:ascii="Arial" w:hAnsi="Arial" w:hint="default"/>
        <w:b/>
        <w:i/>
        <w:sz w:val="22"/>
        <w:szCs w:val="22"/>
      </w:rPr>
    </w:lvl>
    <w:lvl w:ilvl="2" w:tplc="24D8BF6C">
      <w:start w:val="1"/>
      <w:numFmt w:val="lowerLetter"/>
      <w:lvlText w:val="%3."/>
      <w:lvlJc w:val="left"/>
      <w:pPr>
        <w:tabs>
          <w:tab w:val="num" w:pos="10082"/>
        </w:tabs>
        <w:ind w:left="10082" w:hanging="360"/>
      </w:pPr>
      <w:rPr>
        <w:rFonts w:hint="default"/>
      </w:rPr>
    </w:lvl>
    <w:lvl w:ilvl="3" w:tplc="0C0A000F" w:tentative="1">
      <w:start w:val="1"/>
      <w:numFmt w:val="decimal"/>
      <w:lvlText w:val="%4."/>
      <w:lvlJc w:val="left"/>
      <w:pPr>
        <w:tabs>
          <w:tab w:val="num" w:pos="10622"/>
        </w:tabs>
        <w:ind w:left="10622" w:hanging="360"/>
      </w:pPr>
    </w:lvl>
    <w:lvl w:ilvl="4" w:tplc="0C0A0019" w:tentative="1">
      <w:start w:val="1"/>
      <w:numFmt w:val="lowerLetter"/>
      <w:lvlText w:val="%5."/>
      <w:lvlJc w:val="left"/>
      <w:pPr>
        <w:tabs>
          <w:tab w:val="num" w:pos="11342"/>
        </w:tabs>
        <w:ind w:left="11342" w:hanging="360"/>
      </w:pPr>
    </w:lvl>
    <w:lvl w:ilvl="5" w:tplc="0C0A001B" w:tentative="1">
      <w:start w:val="1"/>
      <w:numFmt w:val="lowerRoman"/>
      <w:lvlText w:val="%6."/>
      <w:lvlJc w:val="right"/>
      <w:pPr>
        <w:tabs>
          <w:tab w:val="num" w:pos="12062"/>
        </w:tabs>
        <w:ind w:left="12062" w:hanging="180"/>
      </w:pPr>
    </w:lvl>
    <w:lvl w:ilvl="6" w:tplc="0C0A000F" w:tentative="1">
      <w:start w:val="1"/>
      <w:numFmt w:val="decimal"/>
      <w:lvlText w:val="%7."/>
      <w:lvlJc w:val="left"/>
      <w:pPr>
        <w:tabs>
          <w:tab w:val="num" w:pos="12782"/>
        </w:tabs>
        <w:ind w:left="12782" w:hanging="360"/>
      </w:pPr>
    </w:lvl>
    <w:lvl w:ilvl="7" w:tplc="0C0A0019" w:tentative="1">
      <w:start w:val="1"/>
      <w:numFmt w:val="lowerLetter"/>
      <w:lvlText w:val="%8."/>
      <w:lvlJc w:val="left"/>
      <w:pPr>
        <w:tabs>
          <w:tab w:val="num" w:pos="13502"/>
        </w:tabs>
        <w:ind w:left="13502" w:hanging="360"/>
      </w:pPr>
    </w:lvl>
    <w:lvl w:ilvl="8" w:tplc="0C0A001B" w:tentative="1">
      <w:start w:val="1"/>
      <w:numFmt w:val="lowerRoman"/>
      <w:lvlText w:val="%9."/>
      <w:lvlJc w:val="right"/>
      <w:pPr>
        <w:tabs>
          <w:tab w:val="num" w:pos="14222"/>
        </w:tabs>
        <w:ind w:left="14222" w:hanging="180"/>
      </w:pPr>
    </w:lvl>
  </w:abstractNum>
  <w:abstractNum w:abstractNumId="17" w15:restartNumberingAfterBreak="0">
    <w:nsid w:val="57232354"/>
    <w:multiLevelType w:val="hybridMultilevel"/>
    <w:tmpl w:val="2D3CCA66"/>
    <w:lvl w:ilvl="0" w:tplc="4E021186">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73718F"/>
    <w:multiLevelType w:val="hybridMultilevel"/>
    <w:tmpl w:val="9F1CA502"/>
    <w:lvl w:ilvl="0" w:tplc="A51A5C88">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36A1AFD"/>
    <w:multiLevelType w:val="hybridMultilevel"/>
    <w:tmpl w:val="DF62643E"/>
    <w:lvl w:ilvl="0" w:tplc="040ECC16">
      <w:start w:val="1"/>
      <w:numFmt w:val="lowerLetter"/>
      <w:lvlText w:val="%1."/>
      <w:lvlJc w:val="left"/>
      <w:pPr>
        <w:ind w:left="927" w:hanging="360"/>
      </w:pPr>
      <w:rPr>
        <w:rFonts w:hint="default"/>
        <w:b w:val="0"/>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0" w15:restartNumberingAfterBreak="0">
    <w:nsid w:val="63DB1FFA"/>
    <w:multiLevelType w:val="hybridMultilevel"/>
    <w:tmpl w:val="9F1CA502"/>
    <w:lvl w:ilvl="0" w:tplc="A51A5C88">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77C5BC1"/>
    <w:multiLevelType w:val="hybridMultilevel"/>
    <w:tmpl w:val="81DE9BB4"/>
    <w:lvl w:ilvl="0" w:tplc="8E78029E">
      <w:start w:val="1"/>
      <w:numFmt w:val="decimal"/>
      <w:lvlText w:val="%1."/>
      <w:lvlJc w:val="left"/>
      <w:pPr>
        <w:tabs>
          <w:tab w:val="num" w:pos="284"/>
        </w:tabs>
        <w:ind w:left="284" w:hanging="284"/>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992949"/>
    <w:multiLevelType w:val="hybridMultilevel"/>
    <w:tmpl w:val="4FD861DE"/>
    <w:lvl w:ilvl="0" w:tplc="111A5DD8">
      <w:start w:val="2"/>
      <w:numFmt w:val="lowerLetter"/>
      <w:lvlText w:val="%1."/>
      <w:lvlJc w:val="left"/>
      <w:pPr>
        <w:tabs>
          <w:tab w:val="num" w:pos="1495"/>
        </w:tabs>
        <w:ind w:left="1495" w:hanging="360"/>
      </w:pPr>
      <w:rPr>
        <w:rFonts w:cs="TTE1865388t00" w:hint="default"/>
        <w:b/>
        <w:i/>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86006A4"/>
    <w:multiLevelType w:val="hybridMultilevel"/>
    <w:tmpl w:val="4F2A93DA"/>
    <w:lvl w:ilvl="0" w:tplc="9B9E8A8C">
      <w:start w:val="1"/>
      <w:numFmt w:val="decimal"/>
      <w:lvlText w:val="%1."/>
      <w:lvlJc w:val="left"/>
      <w:pPr>
        <w:ind w:left="720" w:hanging="360"/>
      </w:pPr>
      <w:rPr>
        <w:b/>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0345397"/>
    <w:multiLevelType w:val="hybridMultilevel"/>
    <w:tmpl w:val="26841708"/>
    <w:lvl w:ilvl="0" w:tplc="8E78029E">
      <w:start w:val="1"/>
      <w:numFmt w:val="decimal"/>
      <w:lvlText w:val="%1."/>
      <w:lvlJc w:val="left"/>
      <w:pPr>
        <w:tabs>
          <w:tab w:val="num" w:pos="284"/>
        </w:tabs>
        <w:ind w:left="284" w:hanging="284"/>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174EB0"/>
    <w:multiLevelType w:val="hybridMultilevel"/>
    <w:tmpl w:val="8DDE2258"/>
    <w:lvl w:ilvl="0" w:tplc="11D69808">
      <w:start w:val="1"/>
      <w:numFmt w:val="lowerLetter"/>
      <w:lvlText w:val="%1."/>
      <w:lvlJc w:val="left"/>
      <w:pPr>
        <w:tabs>
          <w:tab w:val="num" w:pos="360"/>
        </w:tabs>
        <w:ind w:left="360" w:hanging="360"/>
      </w:pPr>
      <w:rPr>
        <w:rFonts w:cs="TTE1865388t00" w:hint="default"/>
        <w:b/>
        <w:i w:val="0"/>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9063446"/>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28"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7BEE382C"/>
    <w:multiLevelType w:val="hybridMultilevel"/>
    <w:tmpl w:val="B2781866"/>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0" w15:restartNumberingAfterBreak="0">
    <w:nsid w:val="7E2649E3"/>
    <w:multiLevelType w:val="hybridMultilevel"/>
    <w:tmpl w:val="39828B76"/>
    <w:lvl w:ilvl="0" w:tplc="D114A8D0">
      <w:start w:val="1"/>
      <w:numFmt w:val="decimal"/>
      <w:lvlText w:val="%1."/>
      <w:lvlJc w:val="left"/>
      <w:pPr>
        <w:ind w:left="720" w:hanging="360"/>
      </w:pPr>
      <w:rPr>
        <w:rFonts w:ascii="Arial" w:hAnsi="Arial" w:hint="default"/>
        <w:b w:val="0"/>
        <w:i/>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8"/>
  </w:num>
  <w:num w:numId="3">
    <w:abstractNumId w:val="29"/>
  </w:num>
  <w:num w:numId="4">
    <w:abstractNumId w:val="0"/>
  </w:num>
  <w:num w:numId="5">
    <w:abstractNumId w:val="26"/>
  </w:num>
  <w:num w:numId="6">
    <w:abstractNumId w:val="2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23"/>
  </w:num>
  <w:num w:numId="11">
    <w:abstractNumId w:val="14"/>
  </w:num>
  <w:num w:numId="12">
    <w:abstractNumId w:val="24"/>
  </w:num>
  <w:num w:numId="13">
    <w:abstractNumId w:val="10"/>
  </w:num>
  <w:num w:numId="14">
    <w:abstractNumId w:val="19"/>
  </w:num>
  <w:num w:numId="15">
    <w:abstractNumId w:val="8"/>
  </w:num>
  <w:num w:numId="16">
    <w:abstractNumId w:val="5"/>
  </w:num>
  <w:num w:numId="17">
    <w:abstractNumId w:val="21"/>
  </w:num>
  <w:num w:numId="18">
    <w:abstractNumId w:val="1"/>
  </w:num>
  <w:num w:numId="19">
    <w:abstractNumId w:val="27"/>
  </w:num>
  <w:num w:numId="20">
    <w:abstractNumId w:val="7"/>
  </w:num>
  <w:num w:numId="21">
    <w:abstractNumId w:val="4"/>
  </w:num>
  <w:num w:numId="22">
    <w:abstractNumId w:val="11"/>
  </w:num>
  <w:num w:numId="23">
    <w:abstractNumId w:val="16"/>
  </w:num>
  <w:num w:numId="24">
    <w:abstractNumId w:val="18"/>
  </w:num>
  <w:num w:numId="25">
    <w:abstractNumId w:val="20"/>
  </w:num>
  <w:num w:numId="26">
    <w:abstractNumId w:val="15"/>
  </w:num>
  <w:num w:numId="27">
    <w:abstractNumId w:val="12"/>
  </w:num>
  <w:num w:numId="28">
    <w:abstractNumId w:val="3"/>
  </w:num>
  <w:num w:numId="29">
    <w:abstractNumId w:val="9"/>
  </w:num>
  <w:num w:numId="30">
    <w:abstractNumId w:val="30"/>
  </w:num>
  <w:num w:numId="3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0B63"/>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5F69"/>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6744E"/>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4C79"/>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263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0C2D"/>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6FE0"/>
    <w:rsid w:val="004A7236"/>
    <w:rsid w:val="004B2B3D"/>
    <w:rsid w:val="004B3C97"/>
    <w:rsid w:val="004B43AF"/>
    <w:rsid w:val="004B4763"/>
    <w:rsid w:val="004B66FD"/>
    <w:rsid w:val="004C17A5"/>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1AC"/>
    <w:rsid w:val="00502116"/>
    <w:rsid w:val="00503263"/>
    <w:rsid w:val="005032E7"/>
    <w:rsid w:val="00504D5D"/>
    <w:rsid w:val="005052C7"/>
    <w:rsid w:val="00506EDE"/>
    <w:rsid w:val="00510C22"/>
    <w:rsid w:val="00511246"/>
    <w:rsid w:val="005121D8"/>
    <w:rsid w:val="005156CF"/>
    <w:rsid w:val="00515CEC"/>
    <w:rsid w:val="00523260"/>
    <w:rsid w:val="0052377B"/>
    <w:rsid w:val="00524A7F"/>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85A45"/>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4A2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1ED8"/>
    <w:rsid w:val="0076203A"/>
    <w:rsid w:val="00763AF2"/>
    <w:rsid w:val="00767A01"/>
    <w:rsid w:val="00767AF5"/>
    <w:rsid w:val="00771193"/>
    <w:rsid w:val="007729C9"/>
    <w:rsid w:val="007742A1"/>
    <w:rsid w:val="00774600"/>
    <w:rsid w:val="00777FF4"/>
    <w:rsid w:val="00781332"/>
    <w:rsid w:val="007819B0"/>
    <w:rsid w:val="007837C1"/>
    <w:rsid w:val="0078514D"/>
    <w:rsid w:val="00790832"/>
    <w:rsid w:val="00791713"/>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9408D"/>
    <w:rsid w:val="008971D5"/>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13E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A0A77"/>
    <w:rsid w:val="00AA4A78"/>
    <w:rsid w:val="00AA5259"/>
    <w:rsid w:val="00AA542A"/>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DAD"/>
    <w:rsid w:val="00BE41A3"/>
    <w:rsid w:val="00BE546A"/>
    <w:rsid w:val="00BE5D68"/>
    <w:rsid w:val="00BE62EA"/>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7C47"/>
    <w:rsid w:val="00C521FE"/>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0CB"/>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7BAD"/>
    <w:rsid w:val="00D729A5"/>
    <w:rsid w:val="00D72ECB"/>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03A"/>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0E2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610"/>
    <w:rsid w:val="00F41878"/>
    <w:rsid w:val="00F4630D"/>
    <w:rsid w:val="00F4695B"/>
    <w:rsid w:val="00F46A3F"/>
    <w:rsid w:val="00F47518"/>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0BA7DF8"/>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4"/>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2DFB-9DDB-42E3-B45B-8FA4EC7F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9</Pages>
  <Words>2072</Words>
  <Characters>11400</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91</cp:revision>
  <cp:lastPrinted>2018-11-28T20:33:00Z</cp:lastPrinted>
  <dcterms:created xsi:type="dcterms:W3CDTF">2018-05-02T21:37:00Z</dcterms:created>
  <dcterms:modified xsi:type="dcterms:W3CDTF">2018-12-05T17:33:00Z</dcterms:modified>
</cp:coreProperties>
</file>