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C0252">
        <w:rPr>
          <w:rFonts w:ascii="Arial" w:hAnsi="Arial" w:cs="Arial"/>
          <w:b/>
          <w:bCs/>
          <w:iCs/>
          <w:sz w:val="26"/>
          <w:szCs w:val="22"/>
          <w:lang w:val="es-CR"/>
        </w:rPr>
        <w:t>152</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AC17F8" w:rsidRDefault="00B8093F" w:rsidP="00AA197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9C0252">
              <w:rPr>
                <w:rFonts w:ascii="Arial" w:eastAsia="Cambria" w:hAnsi="Arial" w:cs="Arial"/>
                <w:sz w:val="22"/>
                <w:szCs w:val="22"/>
                <w:lang w:val="es-ES_tradnl" w:eastAsia="en-US"/>
              </w:rPr>
              <w:t>Dr. Humberto Villalta Solano, Vicerrector de Administración</w:t>
            </w:r>
          </w:p>
          <w:p w:rsidR="00BE62EA" w:rsidRPr="009C0252" w:rsidRDefault="009C0252" w:rsidP="009C0252">
            <w:pPr>
              <w:ind w:left="173" w:hanging="141"/>
              <w:jc w:val="both"/>
              <w:rPr>
                <w:rFonts w:ascii="Arial" w:eastAsia="Cambria" w:hAnsi="Arial" w:cs="Arial"/>
                <w:sz w:val="22"/>
                <w:szCs w:val="22"/>
                <w:lang w:val="es-ES_tradnl" w:eastAsia="en-US"/>
              </w:rPr>
            </w:pPr>
            <w:r>
              <w:rPr>
                <w:rFonts w:ascii="Arial" w:hAnsi="Arial" w:cs="Arial"/>
                <w:iCs/>
              </w:rPr>
              <w:t xml:space="preserve"> </w:t>
            </w:r>
            <w:r w:rsidRPr="009C0252">
              <w:rPr>
                <w:rFonts w:ascii="Arial" w:hAnsi="Arial" w:cs="Arial"/>
                <w:iCs/>
                <w:sz w:val="22"/>
                <w:szCs w:val="22"/>
              </w:rPr>
              <w:t>M</w:t>
            </w:r>
            <w:r w:rsidRPr="009C0252">
              <w:rPr>
                <w:rFonts w:ascii="Arial" w:hAnsi="Arial" w:cs="Arial"/>
                <w:iCs/>
                <w:sz w:val="22"/>
                <w:szCs w:val="22"/>
              </w:rPr>
              <w:t xml:space="preserve">AE. Kattia Calderón Mora, Directora del Departamento de </w:t>
            </w:r>
            <w:r>
              <w:rPr>
                <w:rFonts w:ascii="Arial" w:hAnsi="Arial" w:cs="Arial"/>
                <w:iCs/>
                <w:sz w:val="22"/>
                <w:szCs w:val="22"/>
              </w:rPr>
              <w:t xml:space="preserve">  </w:t>
            </w:r>
            <w:r w:rsidRPr="009C0252">
              <w:rPr>
                <w:rFonts w:ascii="Arial" w:hAnsi="Arial" w:cs="Arial"/>
                <w:iCs/>
                <w:sz w:val="22"/>
                <w:szCs w:val="22"/>
              </w:rPr>
              <w:t>Aprovisionamiento</w:t>
            </w:r>
          </w:p>
          <w:p w:rsidR="00AC17F8" w:rsidRPr="00F548D2" w:rsidRDefault="00AC17F8" w:rsidP="00AC17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19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06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AA197B">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A197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AA197B">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06 de marzo de 2019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A197B" w:rsidRPr="00AA197B">
              <w:rPr>
                <w:rFonts w:ascii="Arial" w:hAnsi="Arial" w:cs="Arial"/>
                <w:b/>
                <w:bCs/>
                <w:sz w:val="22"/>
                <w:szCs w:val="22"/>
              </w:rPr>
              <w:t>Licitación   Pública Nº 2018LN-000003-APITCR, “Servicio de Aseo y Limpieza, Sede Central”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9C0252" w:rsidRPr="009C0252" w:rsidRDefault="009C0252" w:rsidP="009C0252">
      <w:pPr>
        <w:jc w:val="both"/>
        <w:outlineLvl w:val="0"/>
        <w:rPr>
          <w:rFonts w:ascii="Arial" w:hAnsi="Arial" w:cs="Arial"/>
          <w:b/>
          <w:sz w:val="22"/>
          <w:szCs w:val="22"/>
        </w:rPr>
      </w:pPr>
      <w:r w:rsidRPr="009C0252">
        <w:rPr>
          <w:rFonts w:ascii="Arial" w:hAnsi="Arial" w:cs="Arial"/>
          <w:b/>
          <w:sz w:val="22"/>
          <w:szCs w:val="22"/>
        </w:rPr>
        <w:t>RESULTANDO QUE:</w:t>
      </w:r>
    </w:p>
    <w:p w:rsidR="009C0252" w:rsidRPr="009C0252" w:rsidRDefault="009C0252" w:rsidP="009C0252">
      <w:pPr>
        <w:ind w:left="1276" w:hanging="1276"/>
        <w:jc w:val="both"/>
        <w:rPr>
          <w:rFonts w:ascii="Arial" w:eastAsia="MS Mincho" w:hAnsi="Arial" w:cs="Arial"/>
          <w:b/>
          <w:iCs/>
          <w:sz w:val="20"/>
          <w:szCs w:val="20"/>
          <w:lang w:val="es-CR"/>
        </w:rPr>
      </w:pPr>
    </w:p>
    <w:p w:rsidR="009C0252" w:rsidRPr="009C0252" w:rsidRDefault="009C0252" w:rsidP="009C0252">
      <w:pPr>
        <w:numPr>
          <w:ilvl w:val="0"/>
          <w:numId w:val="20"/>
        </w:numPr>
        <w:tabs>
          <w:tab w:val="left" w:pos="0"/>
        </w:tabs>
        <w:ind w:left="392"/>
        <w:contextualSpacing/>
        <w:jc w:val="both"/>
        <w:outlineLvl w:val="0"/>
        <w:rPr>
          <w:rFonts w:ascii="Arial" w:hAnsi="Arial" w:cs="Arial"/>
          <w:bCs/>
          <w:lang w:val="es-CR"/>
        </w:rPr>
      </w:pPr>
      <w:r w:rsidRPr="009C0252">
        <w:rPr>
          <w:rFonts w:ascii="Arial" w:hAnsi="Arial" w:cs="Arial"/>
          <w:bCs/>
          <w:lang w:val="es-CR"/>
        </w:rPr>
        <w:t>El Artículo 18, inciso h del Estatuto Orgánico del Instituto Tecnológico de Costa Rica, señala:</w:t>
      </w:r>
    </w:p>
    <w:p w:rsidR="009C0252" w:rsidRPr="009C0252" w:rsidRDefault="009C0252" w:rsidP="009C0252">
      <w:pPr>
        <w:tabs>
          <w:tab w:val="left" w:pos="0"/>
          <w:tab w:val="center" w:pos="4986"/>
        </w:tabs>
        <w:ind w:left="567"/>
        <w:contextualSpacing/>
        <w:jc w:val="both"/>
        <w:outlineLvl w:val="0"/>
        <w:rPr>
          <w:rFonts w:ascii="Verdana" w:hAnsi="Verdana"/>
          <w:sz w:val="20"/>
          <w:szCs w:val="20"/>
          <w:lang w:val="es-CR"/>
        </w:rPr>
      </w:pPr>
    </w:p>
    <w:p w:rsidR="009C0252" w:rsidRPr="009C0252" w:rsidRDefault="009C0252" w:rsidP="009C0252">
      <w:pPr>
        <w:tabs>
          <w:tab w:val="left" w:pos="709"/>
          <w:tab w:val="center" w:pos="4986"/>
        </w:tabs>
        <w:ind w:left="851" w:hanging="142"/>
        <w:contextualSpacing/>
        <w:jc w:val="both"/>
        <w:outlineLvl w:val="0"/>
        <w:rPr>
          <w:rFonts w:ascii="Arial" w:hAnsi="Arial" w:cs="Arial"/>
          <w:i/>
          <w:sz w:val="22"/>
          <w:szCs w:val="22"/>
          <w:lang w:val="es-CR"/>
        </w:rPr>
      </w:pPr>
      <w:r w:rsidRPr="009C0252">
        <w:rPr>
          <w:rFonts w:ascii="Arial" w:hAnsi="Arial" w:cs="Arial"/>
          <w:i/>
          <w:sz w:val="22"/>
          <w:szCs w:val="22"/>
          <w:lang w:val="es-CR"/>
        </w:rPr>
        <w:t>“Son funciones del Consejo Institucional:</w:t>
      </w:r>
    </w:p>
    <w:p w:rsidR="009C0252" w:rsidRPr="009C0252" w:rsidRDefault="009C0252" w:rsidP="009C0252">
      <w:pPr>
        <w:tabs>
          <w:tab w:val="left" w:pos="709"/>
          <w:tab w:val="center" w:pos="4986"/>
        </w:tabs>
        <w:ind w:left="851"/>
        <w:contextualSpacing/>
        <w:jc w:val="both"/>
        <w:outlineLvl w:val="0"/>
        <w:rPr>
          <w:rFonts w:ascii="Arial" w:hAnsi="Arial" w:cs="Arial"/>
          <w:i/>
          <w:sz w:val="22"/>
          <w:szCs w:val="22"/>
          <w:lang w:val="es-CR"/>
        </w:rPr>
      </w:pPr>
      <w:r w:rsidRPr="009C0252">
        <w:rPr>
          <w:rFonts w:ascii="Arial" w:hAnsi="Arial" w:cs="Arial"/>
          <w:i/>
          <w:sz w:val="22"/>
          <w:szCs w:val="22"/>
          <w:lang w:val="es-CR"/>
        </w:rPr>
        <w:t>“a…</w:t>
      </w:r>
    </w:p>
    <w:p w:rsidR="009C0252" w:rsidRPr="009C0252" w:rsidRDefault="009C0252" w:rsidP="009C0252">
      <w:pPr>
        <w:ind w:left="1134" w:right="448" w:hanging="283"/>
        <w:contextualSpacing/>
        <w:jc w:val="both"/>
        <w:outlineLvl w:val="0"/>
        <w:rPr>
          <w:rFonts w:ascii="Arial" w:hAnsi="Arial" w:cs="Arial"/>
          <w:i/>
          <w:sz w:val="22"/>
          <w:szCs w:val="22"/>
          <w:lang w:val="es-CR"/>
        </w:rPr>
      </w:pPr>
      <w:r w:rsidRPr="009C0252">
        <w:rPr>
          <w:rFonts w:ascii="Arial" w:hAnsi="Arial" w:cs="Arial"/>
          <w:i/>
          <w:sz w:val="22"/>
          <w:szCs w:val="22"/>
          <w:lang w:val="es-CR"/>
        </w:rPr>
        <w:t>h. Decidir sobre las licitaciones públicas según lo estipulado en el reglamento correspondiente”.</w:t>
      </w:r>
    </w:p>
    <w:p w:rsidR="009C0252" w:rsidRPr="009C0252" w:rsidRDefault="009C0252" w:rsidP="009C0252">
      <w:pPr>
        <w:ind w:right="448"/>
        <w:contextualSpacing/>
        <w:jc w:val="both"/>
        <w:outlineLvl w:val="0"/>
        <w:rPr>
          <w:rFonts w:ascii="Arial" w:hAnsi="Arial" w:cs="Arial"/>
          <w:i/>
          <w:sz w:val="22"/>
          <w:szCs w:val="22"/>
        </w:rPr>
      </w:pPr>
    </w:p>
    <w:p w:rsidR="009C0252" w:rsidRPr="009C0252" w:rsidRDefault="009C0252" w:rsidP="009C0252">
      <w:pPr>
        <w:jc w:val="both"/>
        <w:outlineLvl w:val="0"/>
        <w:rPr>
          <w:rFonts w:ascii="Arial" w:hAnsi="Arial" w:cs="Arial"/>
          <w:b/>
          <w:sz w:val="22"/>
          <w:szCs w:val="22"/>
        </w:rPr>
      </w:pPr>
      <w:r w:rsidRPr="009C0252">
        <w:rPr>
          <w:rFonts w:ascii="Arial" w:hAnsi="Arial" w:cs="Arial"/>
          <w:b/>
          <w:sz w:val="22"/>
          <w:szCs w:val="22"/>
        </w:rPr>
        <w:t>CONSIDERANDO QUE:</w:t>
      </w:r>
    </w:p>
    <w:p w:rsidR="009C0252" w:rsidRPr="009C0252" w:rsidRDefault="009C0252" w:rsidP="009C0252">
      <w:pPr>
        <w:contextualSpacing/>
        <w:jc w:val="both"/>
        <w:outlineLvl w:val="0"/>
        <w:rPr>
          <w:rFonts w:ascii="Arial" w:hAnsi="Arial" w:cs="Arial"/>
          <w:b/>
          <w:sz w:val="16"/>
          <w:szCs w:val="16"/>
        </w:rPr>
      </w:pPr>
      <w:r w:rsidRPr="009C0252">
        <w:rPr>
          <w:rFonts w:ascii="Arial" w:hAnsi="Arial" w:cs="Arial"/>
          <w:b/>
          <w:sz w:val="16"/>
          <w:szCs w:val="16"/>
        </w:rPr>
        <w:t xml:space="preserve"> </w:t>
      </w:r>
    </w:p>
    <w:p w:rsidR="009C0252" w:rsidRPr="009C0252" w:rsidRDefault="009C0252" w:rsidP="009C0252">
      <w:pPr>
        <w:numPr>
          <w:ilvl w:val="0"/>
          <w:numId w:val="21"/>
        </w:numPr>
        <w:tabs>
          <w:tab w:val="left" w:pos="0"/>
          <w:tab w:val="center" w:pos="4986"/>
        </w:tabs>
        <w:ind w:left="426"/>
        <w:contextualSpacing/>
        <w:jc w:val="both"/>
        <w:outlineLvl w:val="0"/>
        <w:rPr>
          <w:rFonts w:ascii="Arial" w:hAnsi="Arial" w:cs="Arial"/>
          <w:bCs/>
        </w:rPr>
      </w:pPr>
      <w:r w:rsidRPr="009C0252">
        <w:rPr>
          <w:rFonts w:ascii="Arial" w:hAnsi="Arial" w:cs="Arial"/>
          <w:bCs/>
        </w:rPr>
        <w:t xml:space="preserve">La </w:t>
      </w:r>
      <w:r w:rsidRPr="009C0252">
        <w:rPr>
          <w:rFonts w:ascii="Arial" w:hAnsi="Arial" w:cs="Arial"/>
          <w:bCs/>
          <w:lang w:val="es-CR"/>
        </w:rPr>
        <w:t>Secretaría</w:t>
      </w:r>
      <w:r w:rsidRPr="009C0252">
        <w:rPr>
          <w:rFonts w:ascii="Arial" w:hAnsi="Arial" w:cs="Arial"/>
          <w:bCs/>
        </w:rPr>
        <w:t xml:space="preserve"> del Consejo Institucional, recibe oficio VAD-057-2019, con fecha de recibido 19 de febrero de 2019, suscrito por el Dr. Humberto Villalta Solano, Vicerrector de Administración, dirigido a la </w:t>
      </w:r>
      <w:proofErr w:type="spellStart"/>
      <w:r w:rsidRPr="009C0252">
        <w:rPr>
          <w:rFonts w:ascii="Arial" w:hAnsi="Arial" w:cs="Arial"/>
          <w:bCs/>
        </w:rPr>
        <w:t>MSc</w:t>
      </w:r>
      <w:proofErr w:type="spellEnd"/>
      <w:r w:rsidRPr="009C0252">
        <w:rPr>
          <w:rFonts w:ascii="Arial" w:hAnsi="Arial" w:cs="Arial"/>
          <w:bCs/>
        </w:rPr>
        <w:t>. Ana Rosa Ruiz Fernández, Coordinadora de la Comisión de Planificación y Administración, con copia a los Miembros del Consejo Institucional, en el cual adjunta el Informe de la Licitación   Pública Nº 2018LN-000003-APITCR, “Servicio de Aseo y Limpieza, Sede Central”. Dicho informe cual cuenta con el visto bueno de la Oficina de Asesoría Legal 050-2019.</w:t>
      </w: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Bien a adquirir</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Con base en las necesidades Institucionales se inició el proceso de contratación del Servicio de Aseo y Limpieza en algunos de los edificios de la Sede Central.</w:t>
      </w: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Contenido Presupuestario</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El Departamento Financiero Contable emite certificación de incorporación en el presupuesto ordinario, de doscientos noventa y cuatro millones de colones exactos (¢294.000.000,00) según centro funcional 51- Partidas Institucionales Vicerrectoría de Administración, correspondiente a la partida de Servicios Generales. (Véase Folio 002 del expediente)</w:t>
      </w: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lastRenderedPageBreak/>
        <w:t xml:space="preserve"> Invitación</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Se cursó invitación según los procedimientos legales establecidos para las licitaciones públicas, mediante invitación publicada en el Diario oficial La Gaceta, número 216 del día 21 de noviembre del 2018. (Folio 088 del expediente administrativo).</w:t>
      </w: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Retiro de Cartel</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El cartel fue solicitado vía correo electrónico por un total de 21 (veintiuno) posibles oferentes a saber: (Véase Folios del 089 al 112 del expediente)</w:t>
      </w:r>
    </w:p>
    <w:p w:rsidR="009C0252" w:rsidRPr="009C0252" w:rsidRDefault="009C0252" w:rsidP="009C0252">
      <w:pPr>
        <w:ind w:left="709"/>
        <w:jc w:val="both"/>
        <w:rPr>
          <w:rFonts w:ascii="Arial" w:hAnsi="Arial"/>
          <w:bCs/>
          <w:i/>
          <w:sz w:val="22"/>
          <w:szCs w:val="20"/>
          <w:lang w:val="es-CR"/>
        </w:rPr>
      </w:pPr>
    </w:p>
    <w:p w:rsidR="009C0252" w:rsidRPr="009C0252" w:rsidRDefault="009C0252" w:rsidP="009C0252">
      <w:pPr>
        <w:numPr>
          <w:ilvl w:val="0"/>
          <w:numId w:val="24"/>
        </w:numPr>
        <w:spacing w:line="360" w:lineRule="auto"/>
        <w:ind w:left="1417" w:hanging="357"/>
        <w:jc w:val="both"/>
        <w:rPr>
          <w:rFonts w:ascii="Arial" w:hAnsi="Arial" w:cs="Arial"/>
          <w:bCs/>
          <w:i/>
          <w:sz w:val="22"/>
          <w:szCs w:val="20"/>
        </w:rPr>
      </w:pPr>
      <w:r w:rsidRPr="009C0252">
        <w:rPr>
          <w:rFonts w:ascii="Arial" w:hAnsi="Arial" w:cs="Arial"/>
          <w:bCs/>
          <w:i/>
          <w:sz w:val="22"/>
          <w:szCs w:val="20"/>
        </w:rPr>
        <w:t>JDM Santamaría</w:t>
      </w:r>
    </w:p>
    <w:p w:rsidR="009C0252" w:rsidRPr="009C0252" w:rsidRDefault="009C0252" w:rsidP="009C0252">
      <w:pPr>
        <w:numPr>
          <w:ilvl w:val="0"/>
          <w:numId w:val="24"/>
        </w:numPr>
        <w:spacing w:line="360" w:lineRule="auto"/>
        <w:ind w:left="1417" w:hanging="357"/>
        <w:jc w:val="both"/>
        <w:rPr>
          <w:rFonts w:ascii="Arial" w:hAnsi="Arial" w:cs="Arial"/>
          <w:bCs/>
          <w:i/>
          <w:sz w:val="22"/>
          <w:szCs w:val="20"/>
        </w:rPr>
      </w:pPr>
      <w:r w:rsidRPr="009C0252">
        <w:rPr>
          <w:rFonts w:ascii="Arial" w:hAnsi="Arial" w:cs="Arial"/>
          <w:bCs/>
          <w:i/>
          <w:sz w:val="22"/>
          <w:szCs w:val="20"/>
        </w:rPr>
        <w:t>Distribuidora y Envasadora de Químicos S.A.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Servicios de Consultoría de Occidente S.A.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Ana Lorena Quesada Calvo</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 xml:space="preserve">Grupo </w:t>
      </w:r>
      <w:proofErr w:type="spellStart"/>
      <w:r w:rsidRPr="009C0252">
        <w:rPr>
          <w:rFonts w:ascii="Arial" w:hAnsi="Arial" w:cs="Arial"/>
          <w:i/>
          <w:sz w:val="22"/>
          <w:szCs w:val="22"/>
          <w:lang w:val="es-CR"/>
        </w:rPr>
        <w:t>Semans</w:t>
      </w:r>
      <w:proofErr w:type="spellEnd"/>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 xml:space="preserve">Grupo </w:t>
      </w:r>
      <w:proofErr w:type="spellStart"/>
      <w:r w:rsidRPr="009C0252">
        <w:rPr>
          <w:rFonts w:ascii="Arial" w:hAnsi="Arial" w:cs="Arial"/>
          <w:i/>
          <w:sz w:val="22"/>
          <w:szCs w:val="22"/>
          <w:lang w:val="es-CR"/>
        </w:rPr>
        <w:t>Masiza</w:t>
      </w:r>
      <w:proofErr w:type="spellEnd"/>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Grupo VCR</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Caro Sánchez</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Limpiezas Excelentes S.A.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Omar Alvarado</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MMS Centroamérica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Cinthya Vargas Morales</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Sandra Tenorio</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proofErr w:type="spellStart"/>
      <w:r w:rsidRPr="009C0252">
        <w:rPr>
          <w:rFonts w:ascii="Arial" w:hAnsi="Arial" w:cs="Arial"/>
          <w:i/>
          <w:sz w:val="22"/>
          <w:szCs w:val="22"/>
          <w:lang w:val="es-CR"/>
        </w:rPr>
        <w:t>Deivid</w:t>
      </w:r>
      <w:proofErr w:type="spellEnd"/>
      <w:r w:rsidRPr="009C0252">
        <w:rPr>
          <w:rFonts w:ascii="Arial" w:hAnsi="Arial" w:cs="Arial"/>
          <w:i/>
          <w:sz w:val="22"/>
          <w:szCs w:val="22"/>
          <w:lang w:val="es-CR"/>
        </w:rPr>
        <w:t xml:space="preserve"> Segura Romero</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Servicios Múltiples Especializados S.A.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ASIRA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Osvaldo Trigueros</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 xml:space="preserve">Servicios Técnicos </w:t>
      </w:r>
      <w:proofErr w:type="spellStart"/>
      <w:r w:rsidRPr="009C0252">
        <w:rPr>
          <w:rFonts w:ascii="Arial" w:hAnsi="Arial" w:cs="Arial"/>
          <w:i/>
          <w:sz w:val="22"/>
          <w:szCs w:val="22"/>
          <w:lang w:val="es-CR"/>
        </w:rPr>
        <w:t>Viachica</w:t>
      </w:r>
      <w:proofErr w:type="spellEnd"/>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r w:rsidRPr="009C0252">
        <w:rPr>
          <w:rFonts w:ascii="Arial" w:hAnsi="Arial" w:cs="Arial"/>
          <w:i/>
          <w:sz w:val="22"/>
          <w:szCs w:val="22"/>
          <w:lang w:val="es-CR"/>
        </w:rPr>
        <w:t>SYSPEM Costa Rica</w:t>
      </w:r>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proofErr w:type="spellStart"/>
      <w:r w:rsidRPr="009C0252">
        <w:rPr>
          <w:rFonts w:ascii="Arial" w:hAnsi="Arial" w:cs="Arial"/>
          <w:i/>
          <w:sz w:val="22"/>
          <w:szCs w:val="22"/>
          <w:lang w:val="es-CR"/>
        </w:rPr>
        <w:t>Everclean</w:t>
      </w:r>
      <w:proofErr w:type="spellEnd"/>
      <w:r w:rsidRPr="009C0252">
        <w:rPr>
          <w:rFonts w:ascii="Arial" w:hAnsi="Arial" w:cs="Arial"/>
          <w:i/>
          <w:sz w:val="22"/>
          <w:szCs w:val="22"/>
          <w:lang w:val="es-CR"/>
        </w:rPr>
        <w:t xml:space="preserve"> </w:t>
      </w:r>
      <w:proofErr w:type="spellStart"/>
      <w:r w:rsidRPr="009C0252">
        <w:rPr>
          <w:rFonts w:ascii="Arial" w:hAnsi="Arial" w:cs="Arial"/>
          <w:i/>
          <w:sz w:val="22"/>
          <w:szCs w:val="22"/>
          <w:lang w:val="es-CR"/>
        </w:rPr>
        <w:t>Solutions</w:t>
      </w:r>
      <w:proofErr w:type="spellEnd"/>
    </w:p>
    <w:p w:rsidR="009C0252" w:rsidRPr="009C0252" w:rsidRDefault="009C0252" w:rsidP="009C0252">
      <w:pPr>
        <w:numPr>
          <w:ilvl w:val="0"/>
          <w:numId w:val="24"/>
        </w:numPr>
        <w:tabs>
          <w:tab w:val="left" w:pos="426"/>
        </w:tabs>
        <w:spacing w:line="360" w:lineRule="auto"/>
        <w:ind w:left="1417" w:hanging="357"/>
        <w:rPr>
          <w:rFonts w:ascii="Arial" w:hAnsi="Arial" w:cs="Arial"/>
          <w:i/>
          <w:sz w:val="22"/>
          <w:szCs w:val="22"/>
          <w:lang w:val="es-CR"/>
        </w:rPr>
      </w:pPr>
      <w:proofErr w:type="spellStart"/>
      <w:r w:rsidRPr="009C0252">
        <w:rPr>
          <w:rFonts w:ascii="Arial" w:hAnsi="Arial" w:cs="Arial"/>
          <w:i/>
          <w:sz w:val="22"/>
          <w:szCs w:val="22"/>
          <w:lang w:val="es-CR"/>
        </w:rPr>
        <w:t>Florex</w:t>
      </w:r>
      <w:proofErr w:type="spellEnd"/>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Recepción y Apertura de Ofertas</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La apertura se realiza el 14 de diciembre de 2018 a las diez horas (10:00 a.m.), en el Departamento de Aprovisionamiento según consta en el folio 275 del Libro de Actas de Apertura (Véase Folio 371 del expediente).</w:t>
      </w:r>
    </w:p>
    <w:p w:rsidR="009C0252" w:rsidRPr="009C0252" w:rsidRDefault="009C0252" w:rsidP="009C0252">
      <w:pPr>
        <w:spacing w:before="120"/>
        <w:jc w:val="both"/>
        <w:rPr>
          <w:rFonts w:ascii="Arial" w:hAnsi="Arial" w:cs="Arial"/>
          <w:bCs/>
          <w:sz w:val="16"/>
          <w:szCs w:val="16"/>
        </w:rPr>
      </w:pP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Se reciben dos ofertas: (Véase folios del 146 al 369 del expediente).</w:t>
      </w:r>
    </w:p>
    <w:p w:rsidR="009C0252" w:rsidRPr="009C0252" w:rsidRDefault="009C0252" w:rsidP="009C0252">
      <w:pPr>
        <w:numPr>
          <w:ilvl w:val="0"/>
          <w:numId w:val="23"/>
        </w:numPr>
        <w:spacing w:before="120"/>
        <w:ind w:left="1276"/>
        <w:jc w:val="both"/>
        <w:rPr>
          <w:rFonts w:ascii="Arial" w:hAnsi="Arial" w:cs="Arial"/>
          <w:b/>
          <w:i/>
          <w:sz w:val="22"/>
          <w:szCs w:val="22"/>
          <w:lang w:val="es-ES_tradnl"/>
        </w:rPr>
      </w:pPr>
      <w:r w:rsidRPr="009C0252">
        <w:rPr>
          <w:rFonts w:ascii="Arial" w:hAnsi="Arial" w:cs="Arial"/>
          <w:b/>
          <w:i/>
          <w:sz w:val="22"/>
          <w:szCs w:val="22"/>
          <w:lang w:val="es-ES_tradnl"/>
        </w:rPr>
        <w:t>Servicio de Consultoría de Occidente S.A.</w:t>
      </w:r>
    </w:p>
    <w:p w:rsidR="009C0252" w:rsidRPr="009C0252" w:rsidRDefault="009C0252" w:rsidP="009C0252">
      <w:pPr>
        <w:numPr>
          <w:ilvl w:val="0"/>
          <w:numId w:val="23"/>
        </w:numPr>
        <w:spacing w:before="120"/>
        <w:ind w:left="1276"/>
        <w:jc w:val="both"/>
        <w:rPr>
          <w:rFonts w:ascii="Arial" w:hAnsi="Arial" w:cs="Arial"/>
          <w:b/>
          <w:i/>
          <w:sz w:val="22"/>
          <w:szCs w:val="22"/>
          <w:lang w:val="es-ES_tradnl"/>
        </w:rPr>
      </w:pPr>
      <w:r w:rsidRPr="009C0252">
        <w:rPr>
          <w:rFonts w:ascii="Arial" w:hAnsi="Arial" w:cs="Arial"/>
          <w:b/>
          <w:i/>
          <w:sz w:val="22"/>
          <w:szCs w:val="22"/>
          <w:lang w:val="es-ES_tradnl"/>
        </w:rPr>
        <w:t>Distribuidora y Envasadora de Químicos S.A.</w:t>
      </w:r>
    </w:p>
    <w:p w:rsidR="009C0252" w:rsidRPr="009C0252" w:rsidRDefault="009C0252" w:rsidP="009C0252">
      <w:pPr>
        <w:spacing w:before="120"/>
        <w:ind w:left="360"/>
        <w:jc w:val="both"/>
        <w:rPr>
          <w:rFonts w:ascii="Arial" w:hAnsi="Arial" w:cs="Arial"/>
          <w:b/>
          <w:sz w:val="22"/>
          <w:szCs w:val="22"/>
          <w:lang w:val="es-ES_tradnl"/>
        </w:rPr>
      </w:pP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lastRenderedPageBreak/>
        <w:t>Análisis de las Ofertas:</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En el Cuadro Nº 1 Resumen, Condiciones y Aspectos Legales se muestran las condiciones ofrecidas por parte de la empresa participante.</w:t>
      </w:r>
    </w:p>
    <w:p w:rsidR="009C0252" w:rsidRPr="009C0252" w:rsidRDefault="009C0252" w:rsidP="009C0252">
      <w:pPr>
        <w:keepNext/>
        <w:spacing w:before="120"/>
        <w:jc w:val="center"/>
        <w:outlineLvl w:val="2"/>
        <w:rPr>
          <w:rFonts w:ascii="Arial" w:hAnsi="Arial" w:cs="Arial"/>
          <w:b/>
          <w:bCs/>
          <w:sz w:val="22"/>
        </w:rPr>
      </w:pPr>
      <w:r w:rsidRPr="009C0252">
        <w:rPr>
          <w:rFonts w:ascii="Arial" w:hAnsi="Arial" w:cs="Arial"/>
          <w:b/>
          <w:bCs/>
          <w:sz w:val="22"/>
        </w:rPr>
        <w:t>Cuadro Nº 1</w:t>
      </w:r>
    </w:p>
    <w:p w:rsidR="009C0252" w:rsidRPr="009C0252" w:rsidRDefault="009C0252" w:rsidP="009C0252">
      <w:pPr>
        <w:keepNext/>
        <w:spacing w:before="120"/>
        <w:jc w:val="center"/>
        <w:outlineLvl w:val="2"/>
        <w:rPr>
          <w:rFonts w:ascii="Arial" w:hAnsi="Arial" w:cs="Arial"/>
          <w:b/>
          <w:bCs/>
          <w:sz w:val="22"/>
        </w:rPr>
      </w:pPr>
      <w:r w:rsidRPr="009C0252">
        <w:rPr>
          <w:rFonts w:ascii="Arial" w:hAnsi="Arial" w:cs="Arial"/>
          <w:b/>
          <w:bCs/>
          <w:sz w:val="22"/>
        </w:rPr>
        <w:t>Resumen, Condiciones y Aspectos Legales</w:t>
      </w:r>
    </w:p>
    <w:tbl>
      <w:tblPr>
        <w:tblW w:w="9734" w:type="dxa"/>
        <w:jc w:val="right"/>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6120"/>
        <w:gridCol w:w="1712"/>
        <w:gridCol w:w="1902"/>
      </w:tblGrid>
      <w:tr w:rsidR="009C0252" w:rsidRPr="009C0252" w:rsidTr="009C0252">
        <w:trPr>
          <w:trHeight w:val="402"/>
          <w:jc w:val="right"/>
        </w:trPr>
        <w:tc>
          <w:tcPr>
            <w:tcW w:w="6120" w:type="dxa"/>
            <w:vAlign w:val="center"/>
          </w:tcPr>
          <w:p w:rsidR="009C0252" w:rsidRPr="009C0252" w:rsidRDefault="009C0252" w:rsidP="009C0252">
            <w:pPr>
              <w:spacing w:before="120"/>
              <w:jc w:val="center"/>
              <w:rPr>
                <w:rFonts w:ascii="Arial" w:hAnsi="Arial" w:cs="Arial"/>
                <w:b/>
                <w:i/>
                <w:sz w:val="20"/>
                <w:szCs w:val="20"/>
              </w:rPr>
            </w:pPr>
            <w:r w:rsidRPr="009C0252">
              <w:rPr>
                <w:rFonts w:ascii="Arial" w:hAnsi="Arial" w:cs="Arial"/>
                <w:b/>
                <w:i/>
                <w:sz w:val="20"/>
                <w:szCs w:val="20"/>
              </w:rPr>
              <w:t>Nombre del Oferente</w:t>
            </w:r>
          </w:p>
        </w:tc>
        <w:tc>
          <w:tcPr>
            <w:tcW w:w="1712" w:type="dxa"/>
            <w:shd w:val="clear" w:color="auto" w:fill="auto"/>
            <w:vAlign w:val="center"/>
          </w:tcPr>
          <w:p w:rsidR="009C0252" w:rsidRPr="009C0252" w:rsidRDefault="009C0252" w:rsidP="009C0252">
            <w:pPr>
              <w:tabs>
                <w:tab w:val="left" w:pos="540"/>
              </w:tabs>
              <w:spacing w:before="120"/>
              <w:jc w:val="center"/>
              <w:rPr>
                <w:rFonts w:ascii="Arial" w:hAnsi="Arial" w:cs="Arial"/>
                <w:b/>
                <w:i/>
                <w:sz w:val="20"/>
                <w:szCs w:val="20"/>
              </w:rPr>
            </w:pPr>
            <w:r w:rsidRPr="009C0252">
              <w:rPr>
                <w:rFonts w:ascii="Arial" w:hAnsi="Arial" w:cs="Arial"/>
                <w:b/>
                <w:i/>
                <w:sz w:val="20"/>
                <w:szCs w:val="20"/>
              </w:rPr>
              <w:t>Servicios de Consultoría de Occidente S.A.</w:t>
            </w:r>
          </w:p>
          <w:p w:rsidR="009C0252" w:rsidRPr="009C0252" w:rsidRDefault="009C0252" w:rsidP="009C0252">
            <w:pPr>
              <w:tabs>
                <w:tab w:val="left" w:pos="540"/>
              </w:tabs>
              <w:spacing w:before="120"/>
              <w:jc w:val="center"/>
              <w:rPr>
                <w:rFonts w:ascii="Arial" w:hAnsi="Arial" w:cs="Arial"/>
                <w:b/>
                <w:i/>
                <w:sz w:val="20"/>
                <w:szCs w:val="20"/>
              </w:rPr>
            </w:pPr>
            <w:r w:rsidRPr="009C0252">
              <w:rPr>
                <w:rFonts w:ascii="Arial" w:hAnsi="Arial" w:cs="Arial"/>
                <w:b/>
                <w:i/>
                <w:sz w:val="20"/>
                <w:szCs w:val="20"/>
              </w:rPr>
              <w:t xml:space="preserve">(Consorcio Grupo </w:t>
            </w:r>
            <w:proofErr w:type="spellStart"/>
            <w:r w:rsidRPr="009C0252">
              <w:rPr>
                <w:rFonts w:ascii="Arial" w:hAnsi="Arial" w:cs="Arial"/>
                <w:b/>
                <w:i/>
                <w:sz w:val="20"/>
                <w:szCs w:val="20"/>
              </w:rPr>
              <w:t>Florex</w:t>
            </w:r>
            <w:proofErr w:type="spellEnd"/>
            <w:r w:rsidRPr="009C0252">
              <w:rPr>
                <w:rFonts w:ascii="Arial" w:hAnsi="Arial" w:cs="Arial"/>
                <w:b/>
                <w:i/>
                <w:sz w:val="20"/>
                <w:szCs w:val="20"/>
              </w:rPr>
              <w:t>)</w:t>
            </w:r>
          </w:p>
        </w:tc>
        <w:tc>
          <w:tcPr>
            <w:tcW w:w="1902" w:type="dxa"/>
            <w:vAlign w:val="center"/>
          </w:tcPr>
          <w:p w:rsidR="009C0252" w:rsidRPr="009C0252" w:rsidRDefault="009C0252" w:rsidP="009C0252">
            <w:pPr>
              <w:tabs>
                <w:tab w:val="left" w:pos="540"/>
              </w:tabs>
              <w:spacing w:before="120"/>
              <w:jc w:val="center"/>
              <w:rPr>
                <w:i/>
                <w:sz w:val="20"/>
                <w:szCs w:val="20"/>
              </w:rPr>
            </w:pPr>
            <w:r w:rsidRPr="009C0252">
              <w:rPr>
                <w:rFonts w:ascii="Arial" w:hAnsi="Arial" w:cs="Arial"/>
                <w:b/>
                <w:i/>
                <w:sz w:val="20"/>
                <w:szCs w:val="20"/>
              </w:rPr>
              <w:t>Distribuidora y Envasadora de Químicos S.A.</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rPr>
                <w:rFonts w:ascii="Arial" w:hAnsi="Arial" w:cs="Arial"/>
                <w:i/>
                <w:sz w:val="20"/>
                <w:szCs w:val="20"/>
              </w:rPr>
            </w:pPr>
            <w:r w:rsidRPr="009C0252">
              <w:rPr>
                <w:rFonts w:ascii="Arial" w:hAnsi="Arial" w:cs="Arial"/>
                <w:i/>
                <w:sz w:val="20"/>
                <w:szCs w:val="20"/>
              </w:rPr>
              <w:t>Cédula Jurídica</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3-101-165549</w:t>
            </w:r>
          </w:p>
        </w:tc>
        <w:tc>
          <w:tcPr>
            <w:tcW w:w="1902" w:type="dxa"/>
            <w:vAlign w:val="center"/>
          </w:tcPr>
          <w:p w:rsidR="009C0252" w:rsidRPr="009C0252" w:rsidRDefault="009C0252" w:rsidP="009C0252">
            <w:pPr>
              <w:spacing w:before="120"/>
              <w:jc w:val="center"/>
              <w:rPr>
                <w:i/>
                <w:sz w:val="20"/>
                <w:szCs w:val="20"/>
              </w:rPr>
            </w:pPr>
            <w:r w:rsidRPr="009C0252">
              <w:rPr>
                <w:rFonts w:ascii="Arial" w:hAnsi="Arial" w:cs="Arial"/>
                <w:i/>
                <w:sz w:val="20"/>
                <w:szCs w:val="20"/>
              </w:rPr>
              <w:t>3-101-059070</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rPr>
                <w:rFonts w:ascii="Arial" w:hAnsi="Arial" w:cs="Arial"/>
                <w:i/>
                <w:sz w:val="20"/>
                <w:szCs w:val="20"/>
              </w:rPr>
            </w:pPr>
            <w:r w:rsidRPr="009C0252">
              <w:rPr>
                <w:rFonts w:ascii="Arial" w:hAnsi="Arial" w:cs="Arial"/>
                <w:i/>
                <w:sz w:val="20"/>
                <w:szCs w:val="20"/>
              </w:rPr>
              <w:t xml:space="preserve">Total ofertado  </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¢25.212.050,61</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 23.593.106,64</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rPr>
                <w:rFonts w:ascii="Arial" w:hAnsi="Arial" w:cs="Arial"/>
                <w:i/>
                <w:sz w:val="20"/>
                <w:szCs w:val="20"/>
              </w:rPr>
            </w:pPr>
            <w:r w:rsidRPr="009C0252">
              <w:rPr>
                <w:rFonts w:ascii="Arial" w:hAnsi="Arial" w:cs="Arial"/>
                <w:i/>
                <w:sz w:val="20"/>
                <w:szCs w:val="20"/>
              </w:rPr>
              <w:t>Vigencia de la oferta en días hábiles</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120 días</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 xml:space="preserve">120 días </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rPr>
                <w:rFonts w:ascii="Arial" w:hAnsi="Arial" w:cs="Arial"/>
                <w:i/>
                <w:sz w:val="20"/>
                <w:szCs w:val="20"/>
              </w:rPr>
            </w:pPr>
            <w:r w:rsidRPr="009C0252">
              <w:rPr>
                <w:rFonts w:ascii="Arial" w:hAnsi="Arial" w:cs="Arial"/>
                <w:i/>
                <w:sz w:val="20"/>
                <w:szCs w:val="20"/>
              </w:rPr>
              <w:t>Inicio</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Según cartel</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Según cartel</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Cedula Jurídica</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Oferta firmada</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 xml:space="preserve">Garantía de participación </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¢16.200.000,00</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¢14.700.000,00</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Declaración jurada de estar al día en el pago de impuestos nacionales</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 xml:space="preserve">SI </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Declaración jurada que no lo afecta los artículos 22 y 22 bis de la Ley de Contratación Administrativa</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 xml:space="preserve">Declaración jurada que no lo afecta el artículo 100  del Reglamento de la Ley Contratación Administrativa </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Certificación de la Caja Costarricense de Seguro Social</w:t>
            </w:r>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r>
      <w:tr w:rsidR="009C0252" w:rsidRPr="009C0252" w:rsidTr="009C0252">
        <w:trPr>
          <w:trHeight w:val="402"/>
          <w:jc w:val="right"/>
        </w:trPr>
        <w:tc>
          <w:tcPr>
            <w:tcW w:w="6120" w:type="dxa"/>
            <w:shd w:val="clear" w:color="auto" w:fill="auto"/>
            <w:vAlign w:val="center"/>
          </w:tcPr>
          <w:p w:rsidR="009C0252" w:rsidRPr="009C0252" w:rsidRDefault="009C0252" w:rsidP="009C0252">
            <w:pPr>
              <w:spacing w:before="120"/>
              <w:jc w:val="both"/>
              <w:rPr>
                <w:rFonts w:ascii="Arial" w:hAnsi="Arial" w:cs="Arial"/>
                <w:i/>
                <w:sz w:val="20"/>
                <w:szCs w:val="20"/>
              </w:rPr>
            </w:pPr>
            <w:r w:rsidRPr="009C0252">
              <w:rPr>
                <w:rFonts w:ascii="Arial" w:hAnsi="Arial" w:cs="Arial"/>
                <w:i/>
                <w:sz w:val="20"/>
                <w:szCs w:val="20"/>
              </w:rPr>
              <w:t xml:space="preserve">Certificación del Fondo de Asignaciones Familiares </w:t>
            </w:r>
            <w:proofErr w:type="spellStart"/>
            <w:r w:rsidRPr="009C0252">
              <w:rPr>
                <w:rFonts w:ascii="Arial" w:hAnsi="Arial" w:cs="Arial"/>
                <w:i/>
                <w:sz w:val="20"/>
                <w:szCs w:val="20"/>
              </w:rPr>
              <w:t>Fodesaf</w:t>
            </w:r>
            <w:proofErr w:type="spellEnd"/>
          </w:p>
        </w:tc>
        <w:tc>
          <w:tcPr>
            <w:tcW w:w="1712" w:type="dxa"/>
            <w:shd w:val="clear" w:color="auto" w:fill="auto"/>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c>
          <w:tcPr>
            <w:tcW w:w="1902" w:type="dxa"/>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SI</w:t>
            </w:r>
          </w:p>
        </w:tc>
      </w:tr>
    </w:tbl>
    <w:p w:rsidR="009C0252" w:rsidRPr="009C0252" w:rsidRDefault="009C0252" w:rsidP="009C0252">
      <w:pPr>
        <w:spacing w:before="120"/>
        <w:jc w:val="both"/>
        <w:rPr>
          <w:rFonts w:ascii="Arial" w:hAnsi="Arial" w:cs="Arial"/>
          <w:bCs/>
          <w:sz w:val="22"/>
        </w:rPr>
      </w:pP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Análisis del aspecto legal</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 xml:space="preserve">Las ofertas de las empresas cumplen con los requerimientos legales indicados en el cartel. </w:t>
      </w:r>
    </w:p>
    <w:p w:rsidR="009C0252" w:rsidRPr="009C0252" w:rsidRDefault="009C0252" w:rsidP="009C0252"/>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Parámetros para la valoración</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Dados los Análisis Legales y Técnicos se procede a realizar la evaluación de las ofertas.</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 xml:space="preserve">El Cuadro Nº 1 Factores de Evaluación, muestra los parámetros a considerar según cartel para la selección. </w:t>
      </w:r>
      <w:r w:rsidRPr="009C0252">
        <w:rPr>
          <w:rFonts w:ascii="Arial" w:hAnsi="Arial"/>
          <w:b/>
          <w:bCs/>
          <w:i/>
          <w:sz w:val="22"/>
          <w:szCs w:val="20"/>
          <w:lang w:val="es-CR"/>
        </w:rPr>
        <w:t>Únicamente se consideran las ofertas elegibles.</w:t>
      </w:r>
    </w:p>
    <w:p w:rsidR="009C0252" w:rsidRPr="009C0252" w:rsidRDefault="009C0252" w:rsidP="009C0252">
      <w:pPr>
        <w:ind w:left="709"/>
        <w:jc w:val="both"/>
        <w:rPr>
          <w:rFonts w:ascii="Arial" w:hAnsi="Arial"/>
          <w:bCs/>
          <w:i/>
          <w:sz w:val="22"/>
          <w:szCs w:val="20"/>
          <w:lang w:val="es-CR"/>
        </w:rPr>
      </w:pPr>
    </w:p>
    <w:p w:rsid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La calificación muestra la información presentadas por las empresas referentes al porcentaje obtenido en la evaluación del precio, criterios ambientales y experiencia:</w:t>
      </w:r>
    </w:p>
    <w:p w:rsidR="009C0252" w:rsidRDefault="009C0252" w:rsidP="009C0252">
      <w:pPr>
        <w:ind w:left="709"/>
        <w:jc w:val="both"/>
        <w:rPr>
          <w:rFonts w:ascii="Arial" w:hAnsi="Arial"/>
          <w:bCs/>
          <w:i/>
          <w:sz w:val="22"/>
          <w:szCs w:val="20"/>
          <w:lang w:val="es-CR"/>
        </w:rPr>
      </w:pPr>
    </w:p>
    <w:p w:rsidR="009C0252" w:rsidRDefault="009C0252" w:rsidP="009C0252">
      <w:pPr>
        <w:ind w:left="709"/>
        <w:jc w:val="both"/>
        <w:rPr>
          <w:rFonts w:ascii="Arial" w:hAnsi="Arial"/>
          <w:bCs/>
          <w:i/>
          <w:sz w:val="22"/>
          <w:szCs w:val="20"/>
          <w:lang w:val="es-CR"/>
        </w:rPr>
      </w:pPr>
    </w:p>
    <w:p w:rsidR="009C0252" w:rsidRPr="009C0252" w:rsidRDefault="009C0252" w:rsidP="009C0252">
      <w:pPr>
        <w:ind w:left="709"/>
        <w:jc w:val="both"/>
        <w:rPr>
          <w:rFonts w:ascii="Arial" w:hAnsi="Arial"/>
          <w:bCs/>
          <w:i/>
          <w:sz w:val="22"/>
          <w:szCs w:val="20"/>
          <w:lang w:val="es-CR"/>
        </w:rPr>
      </w:pPr>
    </w:p>
    <w:p w:rsidR="009C0252" w:rsidRPr="009C0252" w:rsidRDefault="009C0252" w:rsidP="009C0252">
      <w:pPr>
        <w:keepNext/>
        <w:spacing w:before="120"/>
        <w:jc w:val="center"/>
        <w:outlineLvl w:val="0"/>
        <w:rPr>
          <w:rFonts w:ascii="Arial" w:hAnsi="Arial"/>
          <w:b/>
          <w:bCs/>
          <w:szCs w:val="20"/>
        </w:rPr>
      </w:pPr>
      <w:bookmarkStart w:id="0" w:name="RANGE!B2:O34"/>
      <w:bookmarkEnd w:id="0"/>
      <w:r w:rsidRPr="009C0252">
        <w:rPr>
          <w:rFonts w:ascii="Arial" w:hAnsi="Arial"/>
          <w:b/>
          <w:bCs/>
          <w:szCs w:val="20"/>
        </w:rPr>
        <w:lastRenderedPageBreak/>
        <w:t>Cuadro N°1</w:t>
      </w:r>
    </w:p>
    <w:p w:rsidR="009C0252" w:rsidRPr="009C0252" w:rsidRDefault="009C0252" w:rsidP="009C0252">
      <w:pPr>
        <w:spacing w:before="120"/>
        <w:jc w:val="center"/>
        <w:rPr>
          <w:rFonts w:ascii="Arial" w:hAnsi="Arial" w:cs="Arial"/>
          <w:sz w:val="22"/>
          <w:szCs w:val="22"/>
        </w:rPr>
      </w:pPr>
      <w:r w:rsidRPr="009C0252">
        <w:rPr>
          <w:rFonts w:ascii="Arial" w:hAnsi="Arial" w:cs="Arial"/>
          <w:sz w:val="22"/>
          <w:szCs w:val="22"/>
        </w:rPr>
        <w:t>Factores de Evaluación</w:t>
      </w:r>
    </w:p>
    <w:tbl>
      <w:tblPr>
        <w:tblW w:w="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219"/>
        <w:gridCol w:w="1494"/>
      </w:tblGrid>
      <w:tr w:rsidR="009C0252" w:rsidRPr="009C0252" w:rsidTr="00B77C01">
        <w:trPr>
          <w:trHeight w:val="50"/>
          <w:jc w:val="center"/>
        </w:trPr>
        <w:tc>
          <w:tcPr>
            <w:tcW w:w="4219" w:type="dxa"/>
            <w:shd w:val="clear" w:color="auto" w:fill="auto"/>
          </w:tcPr>
          <w:p w:rsidR="009C0252" w:rsidRPr="009C0252" w:rsidRDefault="009C0252" w:rsidP="009C0252">
            <w:pPr>
              <w:tabs>
                <w:tab w:val="left" w:pos="426"/>
              </w:tabs>
              <w:spacing w:before="120"/>
              <w:jc w:val="both"/>
              <w:rPr>
                <w:rFonts w:ascii="Arial" w:hAnsi="Arial" w:cs="Arial"/>
                <w:b/>
                <w:bCs/>
                <w:i/>
                <w:iCs/>
                <w:sz w:val="20"/>
                <w:szCs w:val="22"/>
              </w:rPr>
            </w:pPr>
            <w:r w:rsidRPr="009C0252">
              <w:rPr>
                <w:rFonts w:ascii="Arial" w:hAnsi="Arial" w:cs="Arial"/>
                <w:b/>
                <w:bCs/>
                <w:i/>
                <w:iCs/>
                <w:sz w:val="20"/>
                <w:szCs w:val="22"/>
              </w:rPr>
              <w:t>FACTOR</w:t>
            </w:r>
          </w:p>
        </w:tc>
        <w:tc>
          <w:tcPr>
            <w:tcW w:w="1494" w:type="dxa"/>
            <w:shd w:val="clear" w:color="auto" w:fill="auto"/>
          </w:tcPr>
          <w:p w:rsidR="009C0252" w:rsidRPr="009C0252" w:rsidRDefault="009C0252" w:rsidP="009C0252">
            <w:pPr>
              <w:tabs>
                <w:tab w:val="left" w:pos="426"/>
              </w:tabs>
              <w:spacing w:before="120"/>
              <w:jc w:val="both"/>
              <w:rPr>
                <w:rFonts w:ascii="Arial" w:hAnsi="Arial" w:cs="Arial"/>
                <w:b/>
                <w:bCs/>
                <w:i/>
                <w:iCs/>
                <w:sz w:val="20"/>
                <w:szCs w:val="22"/>
              </w:rPr>
            </w:pPr>
            <w:r w:rsidRPr="009C0252">
              <w:rPr>
                <w:rFonts w:ascii="Arial" w:hAnsi="Arial" w:cs="Arial"/>
                <w:b/>
                <w:bCs/>
                <w:i/>
                <w:iCs/>
                <w:sz w:val="20"/>
                <w:szCs w:val="22"/>
              </w:rPr>
              <w:t>Porcentaje</w:t>
            </w:r>
          </w:p>
        </w:tc>
      </w:tr>
      <w:tr w:rsidR="009C0252" w:rsidRPr="009C0252" w:rsidTr="00B77C01">
        <w:trPr>
          <w:trHeight w:val="307"/>
          <w:jc w:val="center"/>
        </w:trPr>
        <w:tc>
          <w:tcPr>
            <w:tcW w:w="4219" w:type="dxa"/>
            <w:shd w:val="clear" w:color="auto" w:fill="auto"/>
          </w:tcPr>
          <w:p w:rsidR="009C0252" w:rsidRPr="009C0252" w:rsidRDefault="009C0252" w:rsidP="009C0252">
            <w:pPr>
              <w:tabs>
                <w:tab w:val="left" w:pos="426"/>
              </w:tabs>
              <w:spacing w:before="120"/>
              <w:jc w:val="both"/>
              <w:rPr>
                <w:rFonts w:ascii="Arial" w:hAnsi="Arial" w:cs="Arial"/>
                <w:i/>
                <w:sz w:val="20"/>
                <w:szCs w:val="22"/>
              </w:rPr>
            </w:pPr>
            <w:r w:rsidRPr="009C0252">
              <w:rPr>
                <w:rFonts w:ascii="Arial" w:hAnsi="Arial" w:cs="Arial"/>
                <w:i/>
                <w:sz w:val="20"/>
                <w:szCs w:val="22"/>
              </w:rPr>
              <w:t>Precio</w:t>
            </w:r>
          </w:p>
        </w:tc>
        <w:tc>
          <w:tcPr>
            <w:tcW w:w="1494" w:type="dxa"/>
            <w:shd w:val="clear" w:color="auto" w:fill="auto"/>
            <w:vAlign w:val="center"/>
          </w:tcPr>
          <w:p w:rsidR="009C0252" w:rsidRPr="009C0252" w:rsidRDefault="009C0252" w:rsidP="009C0252">
            <w:pPr>
              <w:tabs>
                <w:tab w:val="left" w:pos="426"/>
              </w:tabs>
              <w:spacing w:before="120"/>
              <w:jc w:val="center"/>
              <w:rPr>
                <w:rFonts w:ascii="Arial" w:hAnsi="Arial" w:cs="Arial"/>
                <w:i/>
                <w:sz w:val="20"/>
                <w:szCs w:val="22"/>
              </w:rPr>
            </w:pPr>
            <w:r w:rsidRPr="009C0252">
              <w:rPr>
                <w:rFonts w:ascii="Arial" w:hAnsi="Arial" w:cs="Arial"/>
                <w:i/>
                <w:sz w:val="20"/>
                <w:szCs w:val="22"/>
              </w:rPr>
              <w:t>70%</w:t>
            </w:r>
          </w:p>
        </w:tc>
      </w:tr>
      <w:tr w:rsidR="009C0252" w:rsidRPr="009C0252" w:rsidTr="00B77C01">
        <w:trPr>
          <w:trHeight w:val="307"/>
          <w:jc w:val="center"/>
        </w:trPr>
        <w:tc>
          <w:tcPr>
            <w:tcW w:w="4219" w:type="dxa"/>
            <w:shd w:val="clear" w:color="auto" w:fill="auto"/>
          </w:tcPr>
          <w:p w:rsidR="009C0252" w:rsidRPr="009C0252" w:rsidRDefault="009C0252" w:rsidP="009C0252">
            <w:pPr>
              <w:tabs>
                <w:tab w:val="left" w:pos="426"/>
              </w:tabs>
              <w:spacing w:before="120"/>
              <w:jc w:val="both"/>
              <w:rPr>
                <w:rFonts w:ascii="Arial" w:hAnsi="Arial" w:cs="Arial"/>
                <w:i/>
                <w:sz w:val="20"/>
                <w:szCs w:val="22"/>
              </w:rPr>
            </w:pPr>
            <w:r w:rsidRPr="009C0252">
              <w:rPr>
                <w:rFonts w:ascii="Arial" w:hAnsi="Arial" w:cs="Arial"/>
                <w:i/>
                <w:sz w:val="20"/>
                <w:szCs w:val="22"/>
              </w:rPr>
              <w:t xml:space="preserve">Criterios sostenibles </w:t>
            </w:r>
          </w:p>
        </w:tc>
        <w:tc>
          <w:tcPr>
            <w:tcW w:w="1494" w:type="dxa"/>
            <w:shd w:val="clear" w:color="auto" w:fill="auto"/>
            <w:vAlign w:val="center"/>
          </w:tcPr>
          <w:p w:rsidR="009C0252" w:rsidRPr="009C0252" w:rsidRDefault="009C0252" w:rsidP="009C0252">
            <w:pPr>
              <w:tabs>
                <w:tab w:val="left" w:pos="426"/>
              </w:tabs>
              <w:spacing w:before="120"/>
              <w:jc w:val="center"/>
              <w:rPr>
                <w:rFonts w:ascii="Arial" w:hAnsi="Arial" w:cs="Arial"/>
                <w:i/>
                <w:sz w:val="20"/>
                <w:szCs w:val="22"/>
              </w:rPr>
            </w:pPr>
            <w:r w:rsidRPr="009C0252">
              <w:rPr>
                <w:rFonts w:ascii="Arial" w:hAnsi="Arial" w:cs="Arial"/>
                <w:i/>
                <w:sz w:val="20"/>
                <w:szCs w:val="22"/>
              </w:rPr>
              <w:t>20%</w:t>
            </w:r>
          </w:p>
        </w:tc>
      </w:tr>
      <w:tr w:rsidR="009C0252" w:rsidRPr="009C0252" w:rsidTr="00B77C01">
        <w:trPr>
          <w:jc w:val="center"/>
        </w:trPr>
        <w:tc>
          <w:tcPr>
            <w:tcW w:w="4219" w:type="dxa"/>
            <w:shd w:val="clear" w:color="auto" w:fill="auto"/>
          </w:tcPr>
          <w:p w:rsidR="009C0252" w:rsidRPr="009C0252" w:rsidRDefault="009C0252" w:rsidP="009C0252">
            <w:pPr>
              <w:tabs>
                <w:tab w:val="left" w:pos="426"/>
              </w:tabs>
              <w:spacing w:before="120"/>
              <w:jc w:val="both"/>
              <w:rPr>
                <w:rFonts w:ascii="Arial" w:hAnsi="Arial" w:cs="Arial"/>
                <w:i/>
                <w:sz w:val="20"/>
                <w:szCs w:val="22"/>
              </w:rPr>
            </w:pPr>
            <w:r w:rsidRPr="009C0252">
              <w:rPr>
                <w:rFonts w:ascii="Arial" w:hAnsi="Arial" w:cs="Arial"/>
                <w:i/>
                <w:sz w:val="20"/>
                <w:szCs w:val="22"/>
              </w:rPr>
              <w:t>Experiencia</w:t>
            </w:r>
          </w:p>
        </w:tc>
        <w:tc>
          <w:tcPr>
            <w:tcW w:w="1494" w:type="dxa"/>
            <w:shd w:val="clear" w:color="auto" w:fill="auto"/>
            <w:vAlign w:val="center"/>
          </w:tcPr>
          <w:p w:rsidR="009C0252" w:rsidRPr="009C0252" w:rsidRDefault="009C0252" w:rsidP="009C0252">
            <w:pPr>
              <w:tabs>
                <w:tab w:val="left" w:pos="426"/>
              </w:tabs>
              <w:spacing w:before="120"/>
              <w:jc w:val="center"/>
              <w:rPr>
                <w:rFonts w:ascii="Arial" w:hAnsi="Arial" w:cs="Arial"/>
                <w:i/>
                <w:sz w:val="20"/>
                <w:szCs w:val="22"/>
              </w:rPr>
            </w:pPr>
            <w:r w:rsidRPr="009C0252">
              <w:rPr>
                <w:rFonts w:ascii="Arial" w:hAnsi="Arial" w:cs="Arial"/>
                <w:i/>
                <w:sz w:val="20"/>
                <w:szCs w:val="22"/>
              </w:rPr>
              <w:t>10%</w:t>
            </w:r>
          </w:p>
        </w:tc>
      </w:tr>
      <w:tr w:rsidR="009C0252" w:rsidRPr="009C0252" w:rsidTr="00B77C01">
        <w:trPr>
          <w:trHeight w:val="376"/>
          <w:jc w:val="center"/>
        </w:trPr>
        <w:tc>
          <w:tcPr>
            <w:tcW w:w="4219" w:type="dxa"/>
            <w:shd w:val="clear" w:color="auto" w:fill="auto"/>
            <w:vAlign w:val="center"/>
          </w:tcPr>
          <w:p w:rsidR="009C0252" w:rsidRPr="009C0252" w:rsidRDefault="009C0252" w:rsidP="009C0252">
            <w:pPr>
              <w:tabs>
                <w:tab w:val="left" w:pos="426"/>
              </w:tabs>
              <w:spacing w:before="120"/>
              <w:rPr>
                <w:rFonts w:ascii="Arial" w:hAnsi="Arial" w:cs="Arial"/>
                <w:b/>
                <w:i/>
                <w:sz w:val="20"/>
                <w:szCs w:val="22"/>
              </w:rPr>
            </w:pPr>
            <w:r w:rsidRPr="009C0252">
              <w:rPr>
                <w:rFonts w:ascii="Arial" w:hAnsi="Arial" w:cs="Arial"/>
                <w:b/>
                <w:i/>
                <w:sz w:val="20"/>
                <w:szCs w:val="22"/>
              </w:rPr>
              <w:t>TOTAL</w:t>
            </w:r>
          </w:p>
        </w:tc>
        <w:tc>
          <w:tcPr>
            <w:tcW w:w="1494" w:type="dxa"/>
            <w:shd w:val="clear" w:color="auto" w:fill="auto"/>
            <w:vAlign w:val="center"/>
          </w:tcPr>
          <w:p w:rsidR="009C0252" w:rsidRPr="009C0252" w:rsidRDefault="009C0252" w:rsidP="009C0252">
            <w:pPr>
              <w:tabs>
                <w:tab w:val="left" w:pos="426"/>
              </w:tabs>
              <w:spacing w:before="120"/>
              <w:jc w:val="center"/>
              <w:rPr>
                <w:rFonts w:ascii="Arial" w:hAnsi="Arial" w:cs="Arial"/>
                <w:b/>
                <w:i/>
                <w:sz w:val="20"/>
                <w:szCs w:val="22"/>
              </w:rPr>
            </w:pPr>
            <w:r w:rsidRPr="009C0252">
              <w:rPr>
                <w:rFonts w:ascii="Arial" w:hAnsi="Arial" w:cs="Arial"/>
                <w:b/>
                <w:i/>
                <w:sz w:val="20"/>
                <w:szCs w:val="22"/>
              </w:rPr>
              <w:t>100%</w:t>
            </w:r>
          </w:p>
        </w:tc>
      </w:tr>
    </w:tbl>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Evaluación de las Ofertas:</w:t>
      </w:r>
    </w:p>
    <w:p w:rsidR="009C0252" w:rsidRPr="009C0252" w:rsidRDefault="009C0252" w:rsidP="009C0252">
      <w:pPr>
        <w:ind w:left="709"/>
        <w:jc w:val="both"/>
        <w:rPr>
          <w:rFonts w:ascii="Arial" w:hAnsi="Arial"/>
          <w:bCs/>
          <w:i/>
          <w:sz w:val="22"/>
          <w:szCs w:val="20"/>
          <w:lang w:val="es-CR"/>
        </w:rPr>
      </w:pPr>
      <w:r w:rsidRPr="009C0252">
        <w:rPr>
          <w:rFonts w:ascii="Arial" w:hAnsi="Arial"/>
          <w:bCs/>
          <w:i/>
          <w:sz w:val="22"/>
          <w:szCs w:val="20"/>
          <w:lang w:val="es-CR"/>
        </w:rPr>
        <w:t>El 29 de enero de 2019, en reunión con la participación de los señores; Carolina Aguilar y Gerardo Solano, funcionarios del Departamento de Servicios Generales, Ing. Raquel Mejías, Regente Ambiental, de la Unidad Institucional de Gestión Ambiental y Seguridad Laboral, y Guissella Campos del Departamento de Aprovisionamiento; se realiza un análisis de las ofertas presentadas.</w:t>
      </w:r>
    </w:p>
    <w:p w:rsidR="009C0252" w:rsidRPr="009C0252" w:rsidRDefault="009C0252" w:rsidP="009C0252">
      <w:pPr>
        <w:spacing w:before="120"/>
        <w:ind w:left="709"/>
        <w:jc w:val="both"/>
        <w:rPr>
          <w:rFonts w:ascii="Arial" w:hAnsi="Arial" w:cs="Arial"/>
          <w:bCs/>
          <w:i/>
          <w:sz w:val="22"/>
        </w:rPr>
      </w:pPr>
      <w:r w:rsidRPr="009C0252">
        <w:rPr>
          <w:rFonts w:ascii="Arial" w:hAnsi="Arial" w:cs="Arial"/>
          <w:bCs/>
          <w:i/>
          <w:sz w:val="22"/>
        </w:rPr>
        <w:t>El pliego de condiciones estableció, para la participación en consorcio lo siguiente:</w:t>
      </w:r>
    </w:p>
    <w:p w:rsidR="009C0252" w:rsidRPr="009C0252" w:rsidRDefault="009C0252" w:rsidP="009C0252">
      <w:pPr>
        <w:spacing w:before="120"/>
        <w:ind w:left="709" w:right="567"/>
        <w:jc w:val="both"/>
        <w:rPr>
          <w:rFonts w:ascii="Arial" w:hAnsi="Arial" w:cs="Arial"/>
          <w:bCs/>
          <w:i/>
          <w:sz w:val="22"/>
        </w:rPr>
      </w:pPr>
      <w:r w:rsidRPr="009C0252">
        <w:rPr>
          <w:rFonts w:ascii="Arial" w:hAnsi="Arial" w:cs="Arial"/>
          <w:bCs/>
          <w:i/>
          <w:sz w:val="22"/>
        </w:rPr>
        <w:t>5.</w:t>
      </w:r>
      <w:r w:rsidRPr="009C0252">
        <w:rPr>
          <w:rFonts w:ascii="Arial" w:hAnsi="Arial" w:cs="Arial"/>
          <w:bCs/>
          <w:i/>
          <w:sz w:val="22"/>
        </w:rPr>
        <w:tab/>
        <w:t>Para efectos de análisis, cada empresa o persona física que conforme el consorcio, será analizada en forma separada, para luego determinar su idoneidad en forma conjunta.</w:t>
      </w:r>
    </w:p>
    <w:p w:rsidR="009C0252" w:rsidRPr="009C0252" w:rsidRDefault="009C0252" w:rsidP="009C0252">
      <w:pPr>
        <w:spacing w:before="120"/>
        <w:ind w:left="709" w:right="567"/>
        <w:jc w:val="both"/>
        <w:rPr>
          <w:rFonts w:ascii="Arial" w:hAnsi="Arial" w:cs="Arial"/>
          <w:bCs/>
          <w:i/>
          <w:sz w:val="22"/>
        </w:rPr>
      </w:pPr>
      <w:r w:rsidRPr="009C0252">
        <w:rPr>
          <w:rFonts w:ascii="Arial" w:hAnsi="Arial" w:cs="Arial"/>
          <w:bCs/>
          <w:i/>
          <w:sz w:val="22"/>
        </w:rPr>
        <w:t>6.</w:t>
      </w:r>
      <w:r w:rsidRPr="009C0252">
        <w:rPr>
          <w:rFonts w:ascii="Arial" w:hAnsi="Arial" w:cs="Arial"/>
          <w:bCs/>
          <w:i/>
          <w:sz w:val="22"/>
        </w:rPr>
        <w:tab/>
        <w:t>Las empresas participantes del consorcio deben haber realizado al menos tres (3) servicios de la misma naturaleza de este cartel; para evidenciarlo se deberá presentar certificación de las empresas que hayan recibido el servicio, en la cual se demuestre el detalle del trabajo realizado, personal involucrado, alcance y responsabilidades.</w:t>
      </w:r>
    </w:p>
    <w:p w:rsidR="009C0252" w:rsidRPr="009C0252" w:rsidRDefault="009C0252" w:rsidP="009C0252">
      <w:pPr>
        <w:spacing w:before="120"/>
        <w:ind w:left="567"/>
        <w:jc w:val="both"/>
        <w:rPr>
          <w:rFonts w:ascii="Arial" w:hAnsi="Arial" w:cs="Arial"/>
          <w:bCs/>
          <w:i/>
          <w:sz w:val="22"/>
        </w:rPr>
      </w:pPr>
      <w:r w:rsidRPr="009C0252">
        <w:rPr>
          <w:rFonts w:ascii="Arial" w:hAnsi="Arial" w:cs="Arial"/>
          <w:bCs/>
          <w:i/>
          <w:sz w:val="22"/>
        </w:rPr>
        <w:t xml:space="preserve">Mediante oficio AP-031-2019, se solicitó al Consorcio Grupo </w:t>
      </w:r>
      <w:proofErr w:type="spellStart"/>
      <w:r w:rsidRPr="009C0252">
        <w:rPr>
          <w:rFonts w:ascii="Arial" w:hAnsi="Arial" w:cs="Arial"/>
          <w:bCs/>
          <w:i/>
          <w:sz w:val="22"/>
        </w:rPr>
        <w:t>Florex</w:t>
      </w:r>
      <w:proofErr w:type="spellEnd"/>
      <w:r w:rsidRPr="009C0252">
        <w:rPr>
          <w:rFonts w:ascii="Arial" w:hAnsi="Arial" w:cs="Arial"/>
          <w:bCs/>
          <w:i/>
          <w:sz w:val="22"/>
        </w:rPr>
        <w:t xml:space="preserve"> subsanar la experiencia establecida en el pliego de condiciones.</w:t>
      </w:r>
    </w:p>
    <w:p w:rsidR="009C0252" w:rsidRPr="009C0252" w:rsidRDefault="009C0252" w:rsidP="009C0252">
      <w:pPr>
        <w:spacing w:before="120"/>
        <w:ind w:left="567"/>
        <w:jc w:val="both"/>
        <w:rPr>
          <w:rFonts w:ascii="Arial" w:hAnsi="Arial" w:cs="Arial"/>
          <w:bCs/>
          <w:i/>
          <w:sz w:val="22"/>
        </w:rPr>
      </w:pPr>
      <w:r w:rsidRPr="009C0252">
        <w:rPr>
          <w:rFonts w:ascii="Arial" w:hAnsi="Arial" w:cs="Arial"/>
          <w:bCs/>
          <w:i/>
          <w:sz w:val="22"/>
        </w:rPr>
        <w:t xml:space="preserve">Con oficio fechado 28 de enero de 2019, el Consorcio Grupo </w:t>
      </w:r>
      <w:proofErr w:type="spellStart"/>
      <w:r w:rsidRPr="009C0252">
        <w:rPr>
          <w:rFonts w:ascii="Arial" w:hAnsi="Arial" w:cs="Arial"/>
          <w:bCs/>
          <w:i/>
          <w:sz w:val="22"/>
        </w:rPr>
        <w:t>Florex</w:t>
      </w:r>
      <w:proofErr w:type="spellEnd"/>
      <w:r w:rsidRPr="009C0252">
        <w:rPr>
          <w:rFonts w:ascii="Arial" w:hAnsi="Arial" w:cs="Arial"/>
          <w:bCs/>
          <w:i/>
          <w:sz w:val="22"/>
        </w:rPr>
        <w:t xml:space="preserve"> remite respuesta, según consta en los folios del 399 a 401 del expediente.</w:t>
      </w:r>
    </w:p>
    <w:p w:rsidR="009C0252" w:rsidRPr="009C0252" w:rsidRDefault="009C0252" w:rsidP="009C0252">
      <w:pPr>
        <w:spacing w:before="120"/>
        <w:ind w:left="567"/>
        <w:jc w:val="both"/>
        <w:rPr>
          <w:rFonts w:ascii="Arial" w:hAnsi="Arial" w:cs="Arial"/>
          <w:bCs/>
          <w:i/>
          <w:sz w:val="22"/>
        </w:rPr>
      </w:pPr>
      <w:r w:rsidRPr="009C0252">
        <w:rPr>
          <w:rFonts w:ascii="Arial" w:hAnsi="Arial" w:cs="Arial"/>
          <w:bCs/>
          <w:i/>
          <w:sz w:val="22"/>
        </w:rPr>
        <w:t xml:space="preserve">Con base en el criterio emitido por la Asesoría Legal, mediante correo electrónico y según el oficio número AL-674-2018; se determina que el Consorcio Grupo </w:t>
      </w:r>
      <w:proofErr w:type="spellStart"/>
      <w:r w:rsidRPr="009C0252">
        <w:rPr>
          <w:rFonts w:ascii="Arial" w:hAnsi="Arial" w:cs="Arial"/>
          <w:bCs/>
          <w:i/>
          <w:sz w:val="22"/>
        </w:rPr>
        <w:t>Florex</w:t>
      </w:r>
      <w:proofErr w:type="spellEnd"/>
      <w:r w:rsidRPr="009C0252">
        <w:rPr>
          <w:rFonts w:ascii="Arial" w:hAnsi="Arial" w:cs="Arial"/>
          <w:bCs/>
          <w:i/>
          <w:sz w:val="22"/>
        </w:rPr>
        <w:t xml:space="preserve"> no subsanó la experiencia solicitada. Dado lo anterior, la oferta del Consorcio Grupo </w:t>
      </w:r>
      <w:proofErr w:type="spellStart"/>
      <w:r w:rsidRPr="009C0252">
        <w:rPr>
          <w:rFonts w:ascii="Arial" w:hAnsi="Arial" w:cs="Arial"/>
          <w:bCs/>
          <w:i/>
          <w:sz w:val="22"/>
        </w:rPr>
        <w:t>Florex</w:t>
      </w:r>
      <w:proofErr w:type="spellEnd"/>
      <w:r w:rsidRPr="009C0252">
        <w:rPr>
          <w:rFonts w:ascii="Arial" w:hAnsi="Arial" w:cs="Arial"/>
          <w:bCs/>
          <w:i/>
          <w:sz w:val="22"/>
        </w:rPr>
        <w:t xml:space="preserve"> se considera inelegible por no cumplir con los requisitos </w:t>
      </w:r>
      <w:proofErr w:type="spellStart"/>
      <w:r w:rsidRPr="009C0252">
        <w:rPr>
          <w:rFonts w:ascii="Arial" w:hAnsi="Arial" w:cs="Arial"/>
          <w:bCs/>
          <w:i/>
          <w:sz w:val="22"/>
        </w:rPr>
        <w:t>cartelarios</w:t>
      </w:r>
      <w:proofErr w:type="spellEnd"/>
      <w:r w:rsidRPr="009C0252">
        <w:rPr>
          <w:rFonts w:ascii="Arial" w:hAnsi="Arial" w:cs="Arial"/>
          <w:bCs/>
          <w:i/>
          <w:sz w:val="22"/>
        </w:rPr>
        <w:t xml:space="preserve"> y por tanto no es sujeta de adjudicación.</w:t>
      </w:r>
    </w:p>
    <w:p w:rsidR="009C0252" w:rsidRPr="009C0252" w:rsidRDefault="009C0252" w:rsidP="009C0252">
      <w:pPr>
        <w:spacing w:before="120"/>
        <w:ind w:left="567"/>
        <w:jc w:val="both"/>
        <w:rPr>
          <w:rFonts w:ascii="Arial" w:hAnsi="Arial" w:cs="Arial"/>
          <w:bCs/>
          <w:i/>
          <w:sz w:val="22"/>
        </w:rPr>
      </w:pPr>
      <w:r w:rsidRPr="009C0252">
        <w:rPr>
          <w:rFonts w:ascii="Arial" w:hAnsi="Arial" w:cs="Arial"/>
          <w:bCs/>
          <w:i/>
          <w:sz w:val="22"/>
        </w:rPr>
        <w:t xml:space="preserve">Se recibe el análisis técnico, según memorando SG-19-2019 del Departamento de Servicios Generales, suscrito por el Lic. Florencio Prendas Marín, Director </w:t>
      </w:r>
      <w:r w:rsidRPr="009C0252">
        <w:rPr>
          <w:rFonts w:ascii="Arial" w:hAnsi="Arial" w:cs="Arial"/>
          <w:bCs/>
          <w:i/>
          <w:sz w:val="22"/>
          <w:szCs w:val="22"/>
        </w:rPr>
        <w:t>(</w:t>
      </w:r>
      <w:r w:rsidRPr="009C0252">
        <w:rPr>
          <w:rFonts w:ascii="Arial" w:hAnsi="Arial" w:cs="Arial"/>
          <w:i/>
          <w:sz w:val="22"/>
          <w:szCs w:val="22"/>
        </w:rPr>
        <w:t>Véase folios 437 a 439 del expediente</w:t>
      </w:r>
      <w:r w:rsidRPr="009C0252">
        <w:rPr>
          <w:rFonts w:ascii="Arial" w:hAnsi="Arial" w:cs="Arial"/>
          <w:bCs/>
          <w:i/>
          <w:sz w:val="22"/>
        </w:rPr>
        <w:t xml:space="preserve">), con fecha 06 de febrero de 2019. </w:t>
      </w:r>
      <w:proofErr w:type="gramStart"/>
      <w:r w:rsidRPr="009C0252">
        <w:rPr>
          <w:rFonts w:ascii="Arial" w:hAnsi="Arial" w:cs="Arial"/>
          <w:bCs/>
          <w:i/>
          <w:sz w:val="22"/>
        </w:rPr>
        <w:t>Además</w:t>
      </w:r>
      <w:proofErr w:type="gramEnd"/>
      <w:r w:rsidRPr="009C0252">
        <w:rPr>
          <w:rFonts w:ascii="Arial" w:hAnsi="Arial" w:cs="Arial"/>
          <w:bCs/>
          <w:i/>
          <w:sz w:val="22"/>
        </w:rPr>
        <w:t xml:space="preserve"> se recibe oficio GASEL-009-2019 de la Unidad de Gestión GASEL con el análisis de los criterios de sostenibilidad, suscrito por la Ing. Raquel Mejías Elizondo, con fecha de recibo 04 de febrero de 2019. </w:t>
      </w:r>
      <w:r w:rsidRPr="009C0252">
        <w:rPr>
          <w:rFonts w:ascii="Arial" w:hAnsi="Arial" w:cs="Arial"/>
          <w:bCs/>
          <w:i/>
          <w:sz w:val="22"/>
          <w:szCs w:val="22"/>
        </w:rPr>
        <w:t>(</w:t>
      </w:r>
      <w:r w:rsidRPr="009C0252">
        <w:rPr>
          <w:rFonts w:ascii="Arial" w:hAnsi="Arial" w:cs="Arial"/>
          <w:i/>
          <w:sz w:val="22"/>
          <w:szCs w:val="22"/>
        </w:rPr>
        <w:t>Véase folios 435 y 436 del expediente</w:t>
      </w:r>
      <w:r w:rsidRPr="009C0252">
        <w:rPr>
          <w:rFonts w:ascii="Arial" w:hAnsi="Arial" w:cs="Arial"/>
          <w:bCs/>
          <w:i/>
          <w:sz w:val="22"/>
        </w:rPr>
        <w:t>)</w:t>
      </w:r>
    </w:p>
    <w:p w:rsidR="009C0252" w:rsidRPr="009C0252" w:rsidRDefault="009C0252" w:rsidP="009C0252">
      <w:pPr>
        <w:numPr>
          <w:ilvl w:val="0"/>
          <w:numId w:val="25"/>
        </w:numPr>
        <w:spacing w:before="120"/>
        <w:ind w:left="993" w:hanging="426"/>
        <w:jc w:val="both"/>
        <w:rPr>
          <w:rFonts w:ascii="Arial" w:hAnsi="Arial" w:cs="Arial"/>
          <w:b/>
          <w:i/>
          <w:sz w:val="22"/>
          <w:szCs w:val="22"/>
        </w:rPr>
      </w:pPr>
      <w:r w:rsidRPr="009C0252">
        <w:rPr>
          <w:rFonts w:ascii="Arial" w:hAnsi="Arial" w:cs="Arial"/>
          <w:b/>
          <w:i/>
          <w:sz w:val="22"/>
          <w:szCs w:val="22"/>
        </w:rPr>
        <w:t>Análisis Técnico</w:t>
      </w:r>
    </w:p>
    <w:p w:rsidR="009C0252" w:rsidRPr="009C0252" w:rsidRDefault="009C0252" w:rsidP="009C0252">
      <w:pPr>
        <w:spacing w:before="120"/>
        <w:ind w:left="567"/>
        <w:jc w:val="both"/>
        <w:rPr>
          <w:rFonts w:ascii="Arial" w:hAnsi="Arial" w:cs="Arial"/>
          <w:bCs/>
          <w:i/>
          <w:sz w:val="22"/>
        </w:rPr>
      </w:pPr>
      <w:r w:rsidRPr="009C0252">
        <w:rPr>
          <w:rFonts w:ascii="Arial" w:hAnsi="Arial" w:cs="Arial"/>
          <w:bCs/>
          <w:i/>
          <w:sz w:val="22"/>
        </w:rPr>
        <w:t>Para la calificación de las ofertas, los entes técnicos realizaron un análisis de las condiciones específicas del servicio ofertado, del precio, la experiencia y los criterios sustentables. Con fundamento en los oficios arriba indicados, se determina que la oferta cumple con las especificaciones solicitadas en el pliego de condiciones.</w:t>
      </w:r>
    </w:p>
    <w:p w:rsidR="009C0252" w:rsidRDefault="009C0252" w:rsidP="009C0252">
      <w:pPr>
        <w:spacing w:before="120"/>
        <w:ind w:left="567"/>
        <w:jc w:val="both"/>
        <w:rPr>
          <w:rFonts w:ascii="Arial" w:hAnsi="Arial" w:cs="Arial"/>
          <w:bCs/>
          <w:i/>
          <w:sz w:val="22"/>
        </w:rPr>
      </w:pPr>
    </w:p>
    <w:p w:rsidR="009C0252" w:rsidRDefault="009C0252" w:rsidP="009C0252">
      <w:pPr>
        <w:spacing w:before="120"/>
        <w:ind w:left="567"/>
        <w:jc w:val="both"/>
        <w:rPr>
          <w:rFonts w:ascii="Arial" w:hAnsi="Arial" w:cs="Arial"/>
          <w:bCs/>
          <w:i/>
          <w:sz w:val="22"/>
        </w:rPr>
      </w:pPr>
    </w:p>
    <w:p w:rsidR="009C0252" w:rsidRPr="009C0252" w:rsidRDefault="009C0252" w:rsidP="009C0252">
      <w:pPr>
        <w:spacing w:before="120"/>
        <w:ind w:left="567"/>
        <w:jc w:val="both"/>
        <w:rPr>
          <w:rFonts w:ascii="Arial" w:hAnsi="Arial" w:cs="Arial"/>
          <w:bCs/>
          <w:i/>
          <w:sz w:val="22"/>
        </w:rPr>
      </w:pPr>
      <w:bookmarkStart w:id="1" w:name="_GoBack"/>
      <w:bookmarkEnd w:id="1"/>
    </w:p>
    <w:p w:rsidR="009C0252" w:rsidRPr="009C0252" w:rsidRDefault="009C0252" w:rsidP="009C0252">
      <w:pPr>
        <w:keepNext/>
        <w:jc w:val="center"/>
        <w:outlineLvl w:val="0"/>
        <w:rPr>
          <w:rFonts w:ascii="Arial" w:hAnsi="Arial"/>
          <w:b/>
          <w:bCs/>
          <w:i/>
          <w:sz w:val="20"/>
          <w:szCs w:val="20"/>
        </w:rPr>
      </w:pPr>
      <w:r w:rsidRPr="009C0252">
        <w:rPr>
          <w:rFonts w:ascii="Arial" w:hAnsi="Arial"/>
          <w:b/>
          <w:bCs/>
          <w:i/>
          <w:sz w:val="20"/>
          <w:szCs w:val="20"/>
        </w:rPr>
        <w:lastRenderedPageBreak/>
        <w:t>Cuadro N°2</w:t>
      </w:r>
    </w:p>
    <w:p w:rsidR="009C0252" w:rsidRPr="009C0252" w:rsidRDefault="009C0252" w:rsidP="009C0252">
      <w:pPr>
        <w:jc w:val="center"/>
        <w:rPr>
          <w:rFonts w:ascii="Arial" w:hAnsi="Arial" w:cs="Arial"/>
          <w:i/>
          <w:sz w:val="20"/>
          <w:szCs w:val="20"/>
        </w:rPr>
      </w:pPr>
      <w:r w:rsidRPr="009C0252">
        <w:rPr>
          <w:rFonts w:ascii="Arial" w:hAnsi="Arial" w:cs="Arial"/>
          <w:i/>
          <w:sz w:val="20"/>
          <w:szCs w:val="20"/>
        </w:rPr>
        <w:t>Evaluación del precio</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3687"/>
        <w:gridCol w:w="3117"/>
      </w:tblGrid>
      <w:tr w:rsidR="009C0252" w:rsidRPr="009C0252" w:rsidTr="00B77C01">
        <w:trPr>
          <w:trHeight w:val="547"/>
          <w:jc w:val="center"/>
        </w:trPr>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0252" w:rsidRPr="009C0252" w:rsidRDefault="009C0252" w:rsidP="009C0252">
            <w:pPr>
              <w:spacing w:before="120"/>
              <w:jc w:val="center"/>
              <w:rPr>
                <w:rFonts w:ascii="Calibri Light" w:eastAsia="Calibri" w:hAnsi="Calibri Light" w:cs="Arial"/>
                <w:b/>
                <w:bCs/>
                <w:i/>
                <w:iCs/>
                <w:sz w:val="20"/>
                <w:szCs w:val="20"/>
              </w:rPr>
            </w:pPr>
          </w:p>
          <w:p w:rsidR="009C0252" w:rsidRPr="009C0252" w:rsidRDefault="009C0252" w:rsidP="009C0252">
            <w:pPr>
              <w:spacing w:before="120"/>
              <w:jc w:val="center"/>
              <w:rPr>
                <w:rFonts w:ascii="Calibri Light" w:hAnsi="Calibri Light" w:cs="Arial"/>
                <w:b/>
                <w:bCs/>
                <w:i/>
                <w:iCs/>
                <w:sz w:val="20"/>
                <w:szCs w:val="20"/>
              </w:rPr>
            </w:pPr>
            <w:r w:rsidRPr="009C0252">
              <w:rPr>
                <w:rFonts w:ascii="Calibri Light" w:hAnsi="Calibri Light" w:cs="Arial"/>
                <w:b/>
                <w:bCs/>
                <w:i/>
                <w:iCs/>
                <w:sz w:val="20"/>
                <w:szCs w:val="20"/>
              </w:rPr>
              <w:t>Factor</w:t>
            </w:r>
          </w:p>
        </w:tc>
        <w:tc>
          <w:tcPr>
            <w:tcW w:w="3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0252" w:rsidRPr="009C0252" w:rsidRDefault="009C0252" w:rsidP="009C0252">
            <w:pPr>
              <w:spacing w:before="120"/>
              <w:jc w:val="center"/>
              <w:rPr>
                <w:rFonts w:ascii="Calibri Light" w:hAnsi="Calibri Light" w:cs="Arial"/>
                <w:b/>
                <w:bCs/>
                <w:i/>
                <w:iCs/>
                <w:sz w:val="20"/>
                <w:szCs w:val="20"/>
              </w:rPr>
            </w:pPr>
          </w:p>
          <w:p w:rsidR="009C0252" w:rsidRPr="009C0252" w:rsidRDefault="009C0252" w:rsidP="009C0252">
            <w:pPr>
              <w:spacing w:before="120"/>
              <w:jc w:val="center"/>
              <w:rPr>
                <w:rFonts w:ascii="Calibri Light" w:hAnsi="Calibri Light" w:cs="Arial"/>
                <w:b/>
                <w:bCs/>
                <w:i/>
                <w:iCs/>
                <w:sz w:val="20"/>
                <w:szCs w:val="20"/>
              </w:rPr>
            </w:pPr>
            <w:r w:rsidRPr="009C0252">
              <w:rPr>
                <w:rFonts w:ascii="Calibri Light" w:hAnsi="Calibri Light" w:cs="Arial"/>
                <w:b/>
                <w:bCs/>
                <w:i/>
                <w:iCs/>
                <w:sz w:val="20"/>
                <w:szCs w:val="20"/>
              </w:rPr>
              <w:t>Forma de Calificación</w:t>
            </w:r>
          </w:p>
        </w:tc>
        <w:tc>
          <w:tcPr>
            <w:tcW w:w="3117" w:type="dxa"/>
            <w:tcBorders>
              <w:top w:val="single" w:sz="4" w:space="0" w:color="auto"/>
              <w:left w:val="single" w:sz="4" w:space="0" w:color="auto"/>
              <w:bottom w:val="single" w:sz="4" w:space="0" w:color="auto"/>
              <w:right w:val="single" w:sz="4" w:space="0" w:color="auto"/>
            </w:tcBorders>
          </w:tcPr>
          <w:p w:rsidR="009C0252" w:rsidRPr="009C0252" w:rsidRDefault="009C0252" w:rsidP="009C0252">
            <w:pPr>
              <w:spacing w:before="120"/>
              <w:jc w:val="center"/>
              <w:rPr>
                <w:rFonts w:ascii="Calibri Light" w:hAnsi="Calibri Light" w:cs="Arial"/>
                <w:b/>
                <w:bCs/>
                <w:i/>
                <w:iCs/>
                <w:sz w:val="20"/>
                <w:szCs w:val="20"/>
              </w:rPr>
            </w:pPr>
            <w:r w:rsidRPr="009C0252">
              <w:rPr>
                <w:rFonts w:ascii="Arial" w:hAnsi="Arial" w:cs="Arial"/>
                <w:b/>
                <w:i/>
                <w:sz w:val="20"/>
                <w:szCs w:val="20"/>
              </w:rPr>
              <w:t>Distribuidora y Envasadora de Químicos S.A.</w:t>
            </w:r>
          </w:p>
        </w:tc>
      </w:tr>
      <w:tr w:rsidR="009C0252" w:rsidRPr="009C0252" w:rsidTr="00B77C01">
        <w:trPr>
          <w:trHeight w:val="688"/>
          <w:jc w:val="center"/>
        </w:trPr>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jc w:val="center"/>
              <w:rPr>
                <w:rFonts w:ascii="Calibri Light" w:hAnsi="Calibri Light" w:cs="Arial"/>
                <w:i/>
                <w:sz w:val="20"/>
                <w:szCs w:val="20"/>
              </w:rPr>
            </w:pPr>
            <w:r w:rsidRPr="009C0252">
              <w:rPr>
                <w:rFonts w:ascii="Calibri Light" w:hAnsi="Calibri Light" w:cs="Arial"/>
                <w:i/>
                <w:sz w:val="20"/>
                <w:szCs w:val="20"/>
              </w:rPr>
              <w:t>Precio</w:t>
            </w:r>
          </w:p>
        </w:tc>
        <w:tc>
          <w:tcPr>
            <w:tcW w:w="3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rPr>
                <w:rFonts w:ascii="Calibri Light" w:hAnsi="Calibri Light" w:cs="Arial"/>
                <w:i/>
                <w:sz w:val="20"/>
                <w:szCs w:val="20"/>
                <w:u w:val="single"/>
              </w:rPr>
            </w:pPr>
            <w:r w:rsidRPr="009C0252">
              <w:rPr>
                <w:rFonts w:ascii="Calibri" w:hAnsi="Calibri"/>
                <w:i/>
                <w:noProof/>
                <w:sz w:val="20"/>
                <w:szCs w:val="20"/>
                <w:lang w:val="es-CR" w:eastAsia="es-CR"/>
              </w:rPr>
              <mc:AlternateContent>
                <mc:Choice Requires="wps">
                  <w:drawing>
                    <wp:anchor distT="0" distB="0" distL="114300" distR="114300" simplePos="0" relativeHeight="251659264" behindDoc="0" locked="0" layoutInCell="1" allowOverlap="1" wp14:anchorId="5866270D" wp14:editId="61F505A5">
                      <wp:simplePos x="0" y="0"/>
                      <wp:positionH relativeFrom="column">
                        <wp:posOffset>387985</wp:posOffset>
                      </wp:positionH>
                      <wp:positionV relativeFrom="paragraph">
                        <wp:posOffset>4445</wp:posOffset>
                      </wp:positionV>
                      <wp:extent cx="1661160" cy="335280"/>
                      <wp:effectExtent l="0" t="0" r="15240" b="26670"/>
                      <wp:wrapNone/>
                      <wp:docPr id="10" name="Corchet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335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C0252" w:rsidRDefault="009C0252" w:rsidP="009C02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27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0" o:spid="_x0000_s1026" type="#_x0000_t185" style="position:absolute;margin-left:30.55pt;margin-top:.35pt;width:130.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">
                      <v:textbox>
                        <w:txbxContent>
                          <w:p w:rsidR="009C0252" w:rsidRDefault="009C0252" w:rsidP="009C0252"/>
                        </w:txbxContent>
                      </v:textbox>
                    </v:shape>
                  </w:pict>
                </mc:Fallback>
              </mc:AlternateContent>
            </w:r>
            <w:r w:rsidRPr="009C0252">
              <w:rPr>
                <w:rFonts w:ascii="Calibri Light" w:hAnsi="Calibri Light" w:cs="Arial"/>
                <w:i/>
                <w:sz w:val="20"/>
                <w:szCs w:val="20"/>
              </w:rPr>
              <w:t>70</w:t>
            </w:r>
            <w:proofErr w:type="gramStart"/>
            <w:r w:rsidRPr="009C0252">
              <w:rPr>
                <w:rFonts w:ascii="Calibri Light" w:hAnsi="Calibri Light" w:cs="Arial"/>
                <w:i/>
                <w:sz w:val="20"/>
                <w:szCs w:val="20"/>
              </w:rPr>
              <w:t>%  X</w:t>
            </w:r>
            <w:proofErr w:type="gramEnd"/>
            <w:r w:rsidRPr="009C0252">
              <w:rPr>
                <w:rFonts w:ascii="Calibri Light" w:hAnsi="Calibri Light" w:cs="Arial"/>
                <w:i/>
                <w:sz w:val="20"/>
                <w:szCs w:val="20"/>
              </w:rPr>
              <w:t xml:space="preserve">    </w:t>
            </w:r>
            <w:r w:rsidRPr="009C0252">
              <w:rPr>
                <w:rFonts w:ascii="Calibri Light" w:hAnsi="Calibri Light" w:cs="Arial"/>
                <w:i/>
                <w:sz w:val="20"/>
                <w:szCs w:val="20"/>
                <w:u w:val="single"/>
              </w:rPr>
              <w:t xml:space="preserve">menor precio de las ofertas </w:t>
            </w:r>
          </w:p>
          <w:p w:rsidR="009C0252" w:rsidRPr="009C0252" w:rsidRDefault="009C0252" w:rsidP="009C0252">
            <w:pPr>
              <w:suppressAutoHyphens/>
              <w:spacing w:before="120" w:line="360" w:lineRule="auto"/>
              <w:rPr>
                <w:rFonts w:ascii="Calibri Light" w:hAnsi="Calibri Light" w:cs="Arial"/>
                <w:i/>
                <w:sz w:val="20"/>
                <w:szCs w:val="20"/>
                <w:lang w:val="es-CR" w:eastAsia="ar-SA"/>
              </w:rPr>
            </w:pPr>
            <w:r w:rsidRPr="009C0252">
              <w:rPr>
                <w:rFonts w:ascii="Calibri Light" w:eastAsia="MS Mincho" w:hAnsi="Calibri Light" w:cs="Arial"/>
                <w:i/>
                <w:sz w:val="20"/>
                <w:szCs w:val="20"/>
                <w:lang w:val="es-ES_tradnl"/>
              </w:rPr>
              <w:t xml:space="preserve">                  Precio de oferta en estudio</w:t>
            </w:r>
          </w:p>
        </w:tc>
        <w:tc>
          <w:tcPr>
            <w:tcW w:w="3117" w:type="dxa"/>
            <w:tcBorders>
              <w:top w:val="single" w:sz="4" w:space="0" w:color="auto"/>
              <w:left w:val="single" w:sz="4" w:space="0" w:color="auto"/>
              <w:bottom w:val="single" w:sz="4" w:space="0" w:color="auto"/>
              <w:right w:val="single" w:sz="4" w:space="0" w:color="auto"/>
            </w:tcBorders>
            <w:hideMark/>
          </w:tcPr>
          <w:p w:rsidR="009C0252" w:rsidRPr="009C0252" w:rsidRDefault="009C0252" w:rsidP="009C0252">
            <w:pPr>
              <w:spacing w:before="120"/>
              <w:rPr>
                <w:rFonts w:ascii="Calibri Light" w:hAnsi="Calibri Light" w:cs="Arial"/>
                <w:b/>
                <w:bCs/>
                <w:i/>
                <w:sz w:val="20"/>
                <w:szCs w:val="20"/>
              </w:rPr>
            </w:pPr>
            <w:r w:rsidRPr="009C0252">
              <w:rPr>
                <w:rFonts w:ascii="Calibri Light" w:hAnsi="Calibri Light" w:cs="Arial"/>
                <w:i/>
                <w:sz w:val="20"/>
                <w:szCs w:val="20"/>
              </w:rPr>
              <w:t xml:space="preserve">    70</w:t>
            </w:r>
            <w:proofErr w:type="gramStart"/>
            <w:r w:rsidRPr="009C0252">
              <w:rPr>
                <w:rFonts w:ascii="Calibri Light" w:hAnsi="Calibri Light" w:cs="Arial"/>
                <w:i/>
                <w:sz w:val="20"/>
                <w:szCs w:val="20"/>
              </w:rPr>
              <w:t>%  X</w:t>
            </w:r>
            <w:proofErr w:type="gramEnd"/>
            <w:r w:rsidRPr="009C0252">
              <w:rPr>
                <w:rFonts w:ascii="Calibri Light" w:hAnsi="Calibri Light" w:cs="Arial"/>
                <w:i/>
                <w:sz w:val="20"/>
                <w:szCs w:val="20"/>
              </w:rPr>
              <w:t xml:space="preserve">       </w:t>
            </w:r>
            <w:r w:rsidRPr="009C0252">
              <w:rPr>
                <w:rFonts w:ascii="Calibri Light" w:hAnsi="Calibri Light" w:cs="Arial"/>
                <w:i/>
                <w:sz w:val="20"/>
                <w:szCs w:val="20"/>
                <w:u w:val="single"/>
                <w:lang w:eastAsia="es-CR"/>
              </w:rPr>
              <w:t>₡23.593.106,64</w:t>
            </w:r>
          </w:p>
          <w:p w:rsidR="009C0252" w:rsidRPr="009C0252" w:rsidRDefault="009C0252" w:rsidP="009C0252">
            <w:pPr>
              <w:spacing w:before="120"/>
              <w:jc w:val="center"/>
              <w:rPr>
                <w:rFonts w:ascii="Calibri Light" w:hAnsi="Calibri Light" w:cs="Arial"/>
                <w:i/>
                <w:noProof/>
                <w:sz w:val="20"/>
                <w:szCs w:val="20"/>
                <w:lang w:eastAsia="es-CR"/>
              </w:rPr>
            </w:pPr>
            <w:r w:rsidRPr="009C0252">
              <w:rPr>
                <w:rFonts w:ascii="Calibri Light" w:hAnsi="Calibri Light" w:cs="Arial"/>
                <w:i/>
                <w:sz w:val="20"/>
                <w:szCs w:val="20"/>
                <w:lang w:eastAsia="es-CR"/>
              </w:rPr>
              <w:t xml:space="preserve">              ₡</w:t>
            </w:r>
            <w:r w:rsidRPr="009C0252">
              <w:rPr>
                <w:rFonts w:ascii="Calibri Light" w:hAnsi="Calibri Light" w:cs="Arial"/>
                <w:i/>
                <w:sz w:val="20"/>
                <w:szCs w:val="20"/>
                <w:u w:val="single"/>
                <w:lang w:eastAsia="es-CR"/>
              </w:rPr>
              <w:t>23.593.106,64</w:t>
            </w:r>
          </w:p>
        </w:tc>
      </w:tr>
      <w:tr w:rsidR="009C0252" w:rsidRPr="009C0252" w:rsidTr="00B77C01">
        <w:trPr>
          <w:trHeight w:val="244"/>
          <w:jc w:val="center"/>
        </w:trPr>
        <w:tc>
          <w:tcPr>
            <w:tcW w:w="46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jc w:val="center"/>
              <w:rPr>
                <w:rFonts w:ascii="Calibri Light" w:hAnsi="Calibri Light" w:cs="Arial"/>
                <w:b/>
                <w:i/>
                <w:noProof/>
                <w:sz w:val="20"/>
                <w:szCs w:val="20"/>
                <w:lang w:eastAsia="es-CR"/>
              </w:rPr>
            </w:pPr>
            <w:r w:rsidRPr="009C0252">
              <w:rPr>
                <w:rFonts w:ascii="Calibri Light" w:hAnsi="Calibri Light" w:cs="Arial"/>
                <w:b/>
                <w:i/>
                <w:noProof/>
                <w:sz w:val="20"/>
                <w:szCs w:val="20"/>
                <w:lang w:eastAsia="es-CR"/>
              </w:rPr>
              <w:t>Porcentaje Obtenido</w:t>
            </w:r>
          </w:p>
        </w:tc>
        <w:tc>
          <w:tcPr>
            <w:tcW w:w="3117"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spacing w:before="120"/>
              <w:jc w:val="center"/>
              <w:rPr>
                <w:rFonts w:ascii="Calibri Light" w:hAnsi="Calibri Light" w:cs="Arial"/>
                <w:b/>
                <w:i/>
                <w:sz w:val="20"/>
                <w:szCs w:val="20"/>
              </w:rPr>
            </w:pPr>
            <w:r w:rsidRPr="009C0252">
              <w:rPr>
                <w:rFonts w:ascii="Calibri" w:hAnsi="Calibri" w:cs="Calibri"/>
                <w:b/>
                <w:bCs/>
                <w:i/>
                <w:sz w:val="20"/>
                <w:szCs w:val="20"/>
              </w:rPr>
              <w:t>70,00%</w:t>
            </w:r>
          </w:p>
        </w:tc>
      </w:tr>
    </w:tbl>
    <w:p w:rsidR="009C0252" w:rsidRPr="009C0252" w:rsidRDefault="009C0252" w:rsidP="009C0252">
      <w:pPr>
        <w:spacing w:before="120"/>
        <w:ind w:left="567"/>
        <w:jc w:val="both"/>
        <w:rPr>
          <w:rFonts w:ascii="Arial" w:hAnsi="Arial" w:cs="Arial"/>
          <w:bCs/>
          <w:i/>
          <w:sz w:val="22"/>
        </w:rPr>
      </w:pPr>
      <w:r w:rsidRPr="009C0252">
        <w:rPr>
          <w:rFonts w:ascii="Arial" w:hAnsi="Arial" w:cs="Arial"/>
          <w:bCs/>
          <w:i/>
          <w:sz w:val="22"/>
        </w:rPr>
        <w:t xml:space="preserve">La oferta de la empresa Distribuidora y Envasadora de Química S.A. se ajusta a la disponibilidad presupuestaria para el servicio. </w:t>
      </w:r>
    </w:p>
    <w:p w:rsidR="009C0252" w:rsidRPr="009C0252" w:rsidRDefault="009C0252" w:rsidP="009C0252">
      <w:pPr>
        <w:spacing w:before="120"/>
        <w:jc w:val="center"/>
        <w:rPr>
          <w:rFonts w:ascii="Arial" w:hAnsi="Arial"/>
          <w:b/>
          <w:bCs/>
          <w:i/>
          <w:sz w:val="22"/>
          <w:szCs w:val="22"/>
        </w:rPr>
      </w:pPr>
      <w:r w:rsidRPr="009C0252">
        <w:rPr>
          <w:rFonts w:ascii="Arial" w:hAnsi="Arial"/>
          <w:b/>
          <w:bCs/>
          <w:i/>
          <w:sz w:val="22"/>
          <w:szCs w:val="22"/>
        </w:rPr>
        <w:t>Cuadro N°3</w:t>
      </w:r>
    </w:p>
    <w:p w:rsidR="009C0252" w:rsidRPr="009C0252" w:rsidRDefault="009C0252" w:rsidP="009C0252">
      <w:pPr>
        <w:spacing w:before="120"/>
        <w:jc w:val="center"/>
        <w:rPr>
          <w:rFonts w:ascii="Arial" w:hAnsi="Arial" w:cs="Arial"/>
          <w:i/>
          <w:sz w:val="22"/>
          <w:szCs w:val="22"/>
        </w:rPr>
      </w:pPr>
      <w:r w:rsidRPr="009C0252">
        <w:rPr>
          <w:rFonts w:ascii="Arial" w:hAnsi="Arial" w:cs="Arial"/>
          <w:i/>
          <w:sz w:val="22"/>
          <w:szCs w:val="22"/>
        </w:rPr>
        <w:t>Evaluación de Criterios Sostenibles</w:t>
      </w: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1205"/>
        <w:gridCol w:w="3402"/>
        <w:gridCol w:w="2123"/>
      </w:tblGrid>
      <w:tr w:rsidR="009C0252" w:rsidRPr="009C0252" w:rsidTr="00B77C01">
        <w:trPr>
          <w:trHeight w:val="525"/>
          <w:jc w:val="center"/>
        </w:trPr>
        <w:tc>
          <w:tcPr>
            <w:tcW w:w="832" w:type="pct"/>
            <w:shd w:val="clear" w:color="auto" w:fill="auto"/>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 xml:space="preserve">Factor de Evaluación </w:t>
            </w:r>
          </w:p>
        </w:tc>
        <w:tc>
          <w:tcPr>
            <w:tcW w:w="746" w:type="pct"/>
            <w:shd w:val="clear" w:color="auto" w:fill="auto"/>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 xml:space="preserve">Porcentaje </w:t>
            </w:r>
          </w:p>
        </w:tc>
        <w:tc>
          <w:tcPr>
            <w:tcW w:w="2107" w:type="pct"/>
            <w:shd w:val="clear" w:color="auto" w:fill="auto"/>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Forma de Calificación</w:t>
            </w:r>
          </w:p>
        </w:tc>
        <w:tc>
          <w:tcPr>
            <w:tcW w:w="1316" w:type="pct"/>
            <w:shd w:val="clear" w:color="auto" w:fill="auto"/>
            <w:hideMark/>
          </w:tcPr>
          <w:p w:rsidR="009C0252" w:rsidRPr="009C0252" w:rsidRDefault="009C0252" w:rsidP="009C0252">
            <w:pPr>
              <w:spacing w:before="120"/>
              <w:jc w:val="center"/>
              <w:rPr>
                <w:rFonts w:ascii="Calibri Light" w:hAnsi="Calibri Light" w:cs="Arial"/>
                <w:b/>
                <w:bCs/>
                <w:i/>
                <w:iCs/>
                <w:sz w:val="20"/>
                <w:szCs w:val="20"/>
              </w:rPr>
            </w:pPr>
            <w:r w:rsidRPr="009C0252">
              <w:rPr>
                <w:rFonts w:ascii="Arial" w:hAnsi="Arial" w:cs="Arial"/>
                <w:b/>
                <w:i/>
                <w:sz w:val="20"/>
                <w:szCs w:val="20"/>
              </w:rPr>
              <w:t>Distribuidora y Envasadora de Químicos S.A.</w:t>
            </w:r>
          </w:p>
        </w:tc>
      </w:tr>
      <w:tr w:rsidR="009C0252" w:rsidRPr="009C0252" w:rsidTr="00B77C01">
        <w:trPr>
          <w:trHeight w:val="294"/>
          <w:jc w:val="center"/>
        </w:trPr>
        <w:tc>
          <w:tcPr>
            <w:tcW w:w="832" w:type="pct"/>
            <w:vMerge w:val="restart"/>
            <w:shd w:val="clear" w:color="auto" w:fill="FFFFFF"/>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Criterios Sostenibles</w:t>
            </w:r>
          </w:p>
        </w:tc>
        <w:tc>
          <w:tcPr>
            <w:tcW w:w="746" w:type="pct"/>
            <w:shd w:val="clear" w:color="auto" w:fill="FFFFFF"/>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3%</w:t>
            </w:r>
          </w:p>
        </w:tc>
        <w:tc>
          <w:tcPr>
            <w:tcW w:w="2107" w:type="pct"/>
            <w:shd w:val="clear" w:color="auto" w:fill="FFFFFF"/>
            <w:vAlign w:val="center"/>
            <w:hideMark/>
          </w:tcPr>
          <w:p w:rsidR="009C0252" w:rsidRPr="009C0252" w:rsidRDefault="009C0252" w:rsidP="009C0252">
            <w:pPr>
              <w:spacing w:before="120"/>
              <w:rPr>
                <w:rFonts w:ascii="Calibri Light" w:hAnsi="Calibri Light" w:cs="Calibri Light"/>
                <w:i/>
                <w:sz w:val="20"/>
                <w:szCs w:val="20"/>
                <w:lang w:eastAsia="es-CR"/>
              </w:rPr>
            </w:pPr>
            <w:r w:rsidRPr="009C0252">
              <w:rPr>
                <w:rFonts w:ascii="Calibri Light" w:hAnsi="Calibri Light" w:cs="Calibri Light"/>
                <w:i/>
                <w:sz w:val="20"/>
                <w:szCs w:val="20"/>
                <w:lang w:eastAsia="es-CR"/>
              </w:rPr>
              <w:t>Programa Bandera Azul Ecológica, Categoría Cambio Climático</w:t>
            </w:r>
          </w:p>
        </w:tc>
        <w:tc>
          <w:tcPr>
            <w:tcW w:w="1316" w:type="pct"/>
            <w:noWrap/>
            <w:vAlign w:val="center"/>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3%</w:t>
            </w:r>
          </w:p>
        </w:tc>
      </w:tr>
      <w:tr w:rsidR="009C0252" w:rsidRPr="009C0252" w:rsidTr="00B77C01">
        <w:trPr>
          <w:trHeight w:val="103"/>
          <w:jc w:val="center"/>
        </w:trPr>
        <w:tc>
          <w:tcPr>
            <w:tcW w:w="832" w:type="pct"/>
            <w:vMerge/>
            <w:vAlign w:val="center"/>
            <w:hideMark/>
          </w:tcPr>
          <w:p w:rsidR="009C0252" w:rsidRPr="009C0252" w:rsidRDefault="009C0252" w:rsidP="009C0252">
            <w:pPr>
              <w:spacing w:before="120"/>
              <w:rPr>
                <w:rFonts w:ascii="Calibri Light" w:hAnsi="Calibri Light" w:cs="Calibri Light"/>
                <w:b/>
                <w:bCs/>
                <w:i/>
                <w:sz w:val="20"/>
                <w:szCs w:val="20"/>
                <w:lang w:eastAsia="es-CR"/>
              </w:rPr>
            </w:pPr>
          </w:p>
        </w:tc>
        <w:tc>
          <w:tcPr>
            <w:tcW w:w="746" w:type="pct"/>
            <w:shd w:val="clear" w:color="auto" w:fill="FFFFFF"/>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6%</w:t>
            </w:r>
          </w:p>
        </w:tc>
        <w:tc>
          <w:tcPr>
            <w:tcW w:w="2107" w:type="pct"/>
            <w:shd w:val="clear" w:color="auto" w:fill="FFFFFF"/>
            <w:vAlign w:val="center"/>
            <w:hideMark/>
          </w:tcPr>
          <w:p w:rsidR="009C0252" w:rsidRPr="009C0252" w:rsidRDefault="009C0252" w:rsidP="009C0252">
            <w:pPr>
              <w:spacing w:before="120"/>
              <w:rPr>
                <w:rFonts w:ascii="Calibri Light" w:hAnsi="Calibri Light" w:cs="Calibri Light"/>
                <w:i/>
                <w:sz w:val="20"/>
                <w:szCs w:val="20"/>
                <w:lang w:eastAsia="es-CR"/>
              </w:rPr>
            </w:pPr>
            <w:r w:rsidRPr="009C0252">
              <w:rPr>
                <w:rFonts w:ascii="Calibri Light" w:hAnsi="Calibri Light" w:cs="Calibri Light"/>
                <w:i/>
                <w:sz w:val="20"/>
                <w:szCs w:val="20"/>
                <w:lang w:eastAsia="es-CR"/>
              </w:rPr>
              <w:t xml:space="preserve">Certificación ISO 14001 vigente </w:t>
            </w:r>
          </w:p>
        </w:tc>
        <w:tc>
          <w:tcPr>
            <w:tcW w:w="1316" w:type="pct"/>
            <w:noWrap/>
            <w:vAlign w:val="center"/>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6%</w:t>
            </w:r>
          </w:p>
        </w:tc>
      </w:tr>
      <w:tr w:rsidR="009C0252" w:rsidRPr="009C0252" w:rsidTr="00B77C01">
        <w:trPr>
          <w:trHeight w:val="106"/>
          <w:jc w:val="center"/>
        </w:trPr>
        <w:tc>
          <w:tcPr>
            <w:tcW w:w="832" w:type="pct"/>
            <w:vMerge/>
            <w:vAlign w:val="center"/>
            <w:hideMark/>
          </w:tcPr>
          <w:p w:rsidR="009C0252" w:rsidRPr="009C0252" w:rsidRDefault="009C0252" w:rsidP="009C0252">
            <w:pPr>
              <w:spacing w:before="120"/>
              <w:rPr>
                <w:rFonts w:ascii="Calibri Light" w:hAnsi="Calibri Light" w:cs="Calibri Light"/>
                <w:b/>
                <w:bCs/>
                <w:i/>
                <w:sz w:val="20"/>
                <w:szCs w:val="20"/>
                <w:lang w:eastAsia="es-CR"/>
              </w:rPr>
            </w:pPr>
          </w:p>
        </w:tc>
        <w:tc>
          <w:tcPr>
            <w:tcW w:w="746" w:type="pct"/>
            <w:shd w:val="clear" w:color="auto" w:fill="FFFFFF"/>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6%</w:t>
            </w:r>
          </w:p>
        </w:tc>
        <w:tc>
          <w:tcPr>
            <w:tcW w:w="2107" w:type="pct"/>
            <w:shd w:val="clear" w:color="auto" w:fill="FFFFFF"/>
            <w:vAlign w:val="center"/>
            <w:hideMark/>
          </w:tcPr>
          <w:p w:rsidR="009C0252" w:rsidRPr="009C0252" w:rsidRDefault="009C0252" w:rsidP="009C0252">
            <w:pPr>
              <w:spacing w:before="120"/>
              <w:rPr>
                <w:rFonts w:ascii="Calibri Light" w:hAnsi="Calibri Light" w:cs="Calibri Light"/>
                <w:i/>
                <w:sz w:val="20"/>
                <w:szCs w:val="20"/>
                <w:lang w:eastAsia="es-CR"/>
              </w:rPr>
            </w:pPr>
            <w:r w:rsidRPr="009C0252">
              <w:rPr>
                <w:rFonts w:ascii="Calibri Light" w:hAnsi="Calibri Light" w:cs="Calibri Light"/>
                <w:i/>
                <w:sz w:val="20"/>
                <w:szCs w:val="20"/>
                <w:lang w:eastAsia="es-CR"/>
              </w:rPr>
              <w:t>Certificación Carbono Neutro</w:t>
            </w:r>
          </w:p>
        </w:tc>
        <w:tc>
          <w:tcPr>
            <w:tcW w:w="1316" w:type="pct"/>
            <w:shd w:val="clear" w:color="auto" w:fill="FFFFFF"/>
            <w:vAlign w:val="center"/>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6%</w:t>
            </w:r>
          </w:p>
        </w:tc>
      </w:tr>
      <w:tr w:rsidR="009C0252" w:rsidRPr="009C0252" w:rsidTr="00B77C01">
        <w:trPr>
          <w:trHeight w:val="238"/>
          <w:jc w:val="center"/>
        </w:trPr>
        <w:tc>
          <w:tcPr>
            <w:tcW w:w="832" w:type="pct"/>
            <w:vMerge/>
            <w:vAlign w:val="center"/>
            <w:hideMark/>
          </w:tcPr>
          <w:p w:rsidR="009C0252" w:rsidRPr="009C0252" w:rsidRDefault="009C0252" w:rsidP="009C0252">
            <w:pPr>
              <w:spacing w:before="120"/>
              <w:rPr>
                <w:rFonts w:ascii="Calibri Light" w:hAnsi="Calibri Light" w:cs="Calibri Light"/>
                <w:b/>
                <w:bCs/>
                <w:i/>
                <w:sz w:val="20"/>
                <w:szCs w:val="20"/>
                <w:lang w:eastAsia="es-CR"/>
              </w:rPr>
            </w:pPr>
          </w:p>
        </w:tc>
        <w:tc>
          <w:tcPr>
            <w:tcW w:w="746" w:type="pct"/>
            <w:shd w:val="clear" w:color="auto" w:fill="FFFFFF"/>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3%</w:t>
            </w:r>
          </w:p>
        </w:tc>
        <w:tc>
          <w:tcPr>
            <w:tcW w:w="2107" w:type="pct"/>
            <w:shd w:val="clear" w:color="auto" w:fill="FFFFFF"/>
            <w:vAlign w:val="center"/>
            <w:hideMark/>
          </w:tcPr>
          <w:p w:rsidR="009C0252" w:rsidRPr="009C0252" w:rsidRDefault="009C0252" w:rsidP="009C0252">
            <w:pPr>
              <w:spacing w:before="120"/>
              <w:rPr>
                <w:rFonts w:ascii="Calibri Light" w:hAnsi="Calibri Light" w:cs="Calibri Light"/>
                <w:i/>
                <w:sz w:val="20"/>
                <w:szCs w:val="20"/>
                <w:lang w:eastAsia="es-CR"/>
              </w:rPr>
            </w:pPr>
            <w:r w:rsidRPr="009C0252">
              <w:rPr>
                <w:rFonts w:ascii="Calibri Light" w:hAnsi="Calibri Light" w:cs="Calibri Light"/>
                <w:i/>
                <w:sz w:val="20"/>
                <w:szCs w:val="20"/>
                <w:lang w:eastAsia="es-CR"/>
              </w:rPr>
              <w:t xml:space="preserve">Galardón Producción Más limpia o </w:t>
            </w:r>
            <w:proofErr w:type="spellStart"/>
            <w:r w:rsidRPr="009C0252">
              <w:rPr>
                <w:rFonts w:ascii="Calibri Light" w:hAnsi="Calibri Light" w:cs="Calibri Light"/>
                <w:i/>
                <w:sz w:val="20"/>
                <w:szCs w:val="20"/>
                <w:lang w:eastAsia="es-CR"/>
              </w:rPr>
              <w:t>Ecoeficiencia</w:t>
            </w:r>
            <w:proofErr w:type="spellEnd"/>
          </w:p>
        </w:tc>
        <w:tc>
          <w:tcPr>
            <w:tcW w:w="1316" w:type="pct"/>
            <w:noWrap/>
            <w:vAlign w:val="center"/>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3%</w:t>
            </w:r>
          </w:p>
        </w:tc>
      </w:tr>
      <w:tr w:rsidR="009C0252" w:rsidRPr="009C0252" w:rsidTr="00B77C01">
        <w:trPr>
          <w:trHeight w:val="472"/>
          <w:jc w:val="center"/>
        </w:trPr>
        <w:tc>
          <w:tcPr>
            <w:tcW w:w="832" w:type="pct"/>
            <w:vMerge/>
            <w:vAlign w:val="center"/>
            <w:hideMark/>
          </w:tcPr>
          <w:p w:rsidR="009C0252" w:rsidRPr="009C0252" w:rsidRDefault="009C0252" w:rsidP="009C0252">
            <w:pPr>
              <w:spacing w:before="120"/>
              <w:rPr>
                <w:rFonts w:ascii="Calibri Light" w:hAnsi="Calibri Light" w:cs="Calibri Light"/>
                <w:b/>
                <w:bCs/>
                <w:i/>
                <w:sz w:val="20"/>
                <w:szCs w:val="20"/>
                <w:lang w:eastAsia="es-CR"/>
              </w:rPr>
            </w:pPr>
          </w:p>
        </w:tc>
        <w:tc>
          <w:tcPr>
            <w:tcW w:w="746" w:type="pct"/>
            <w:shd w:val="clear" w:color="auto" w:fill="FFFFFF"/>
            <w:vAlign w:val="center"/>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2%</w:t>
            </w:r>
          </w:p>
        </w:tc>
        <w:tc>
          <w:tcPr>
            <w:tcW w:w="2107" w:type="pct"/>
            <w:shd w:val="clear" w:color="auto" w:fill="FFFFFF"/>
            <w:vAlign w:val="center"/>
            <w:hideMark/>
          </w:tcPr>
          <w:p w:rsidR="009C0252" w:rsidRPr="009C0252" w:rsidRDefault="009C0252" w:rsidP="009C0252">
            <w:pPr>
              <w:spacing w:before="120"/>
              <w:jc w:val="both"/>
              <w:rPr>
                <w:rFonts w:ascii="Calibri Light" w:hAnsi="Calibri Light" w:cs="Calibri Light"/>
                <w:i/>
                <w:sz w:val="20"/>
                <w:szCs w:val="20"/>
                <w:lang w:eastAsia="es-CR"/>
              </w:rPr>
            </w:pPr>
            <w:r w:rsidRPr="009C0252">
              <w:rPr>
                <w:rFonts w:ascii="Calibri Light" w:hAnsi="Calibri Light" w:cs="Calibri Light"/>
                <w:i/>
                <w:sz w:val="20"/>
                <w:szCs w:val="20"/>
                <w:lang w:eastAsia="es-CR"/>
              </w:rPr>
              <w:t>Inclusión laboral de personas con discapacidad en su planilla.</w:t>
            </w:r>
          </w:p>
        </w:tc>
        <w:tc>
          <w:tcPr>
            <w:tcW w:w="1316" w:type="pct"/>
            <w:shd w:val="clear" w:color="auto" w:fill="FFFFFF"/>
            <w:vAlign w:val="center"/>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2%</w:t>
            </w:r>
          </w:p>
        </w:tc>
      </w:tr>
      <w:tr w:rsidR="009C0252" w:rsidRPr="009C0252" w:rsidTr="00B77C01">
        <w:trPr>
          <w:trHeight w:val="300"/>
          <w:jc w:val="center"/>
        </w:trPr>
        <w:tc>
          <w:tcPr>
            <w:tcW w:w="3684" w:type="pct"/>
            <w:gridSpan w:val="3"/>
            <w:noWrap/>
            <w:vAlign w:val="bottom"/>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Porcentaje Total</w:t>
            </w:r>
          </w:p>
        </w:tc>
        <w:tc>
          <w:tcPr>
            <w:tcW w:w="1316" w:type="pct"/>
            <w:noWrap/>
            <w:vAlign w:val="bottom"/>
            <w:hideMark/>
          </w:tcPr>
          <w:p w:rsidR="009C0252" w:rsidRPr="009C0252" w:rsidRDefault="009C0252" w:rsidP="009C0252">
            <w:pPr>
              <w:spacing w:before="120"/>
              <w:jc w:val="center"/>
              <w:rPr>
                <w:rFonts w:ascii="Calibri Light" w:hAnsi="Calibri Light" w:cs="Calibri Light"/>
                <w:b/>
                <w:bCs/>
                <w:i/>
                <w:sz w:val="20"/>
                <w:szCs w:val="20"/>
                <w:lang w:eastAsia="es-CR"/>
              </w:rPr>
            </w:pPr>
            <w:r w:rsidRPr="009C0252">
              <w:rPr>
                <w:rFonts w:ascii="Calibri Light" w:hAnsi="Calibri Light" w:cs="Calibri Light"/>
                <w:b/>
                <w:bCs/>
                <w:i/>
                <w:sz w:val="20"/>
                <w:szCs w:val="20"/>
                <w:lang w:eastAsia="es-CR"/>
              </w:rPr>
              <w:t>20%</w:t>
            </w:r>
          </w:p>
        </w:tc>
      </w:tr>
    </w:tbl>
    <w:p w:rsidR="009C0252" w:rsidRPr="009C0252" w:rsidRDefault="009C0252" w:rsidP="009C0252">
      <w:pPr>
        <w:spacing w:before="120"/>
        <w:jc w:val="center"/>
        <w:rPr>
          <w:rFonts w:ascii="Arial" w:hAnsi="Arial" w:cs="Arial"/>
          <w:sz w:val="16"/>
          <w:szCs w:val="16"/>
        </w:rPr>
      </w:pPr>
    </w:p>
    <w:p w:rsidR="009C0252" w:rsidRPr="009C0252" w:rsidRDefault="009C0252" w:rsidP="009C0252">
      <w:pPr>
        <w:spacing w:before="120"/>
        <w:ind w:left="567"/>
        <w:contextualSpacing/>
        <w:jc w:val="both"/>
        <w:rPr>
          <w:rFonts w:ascii="Arial" w:hAnsi="Arial" w:cs="Arial"/>
          <w:i/>
          <w:sz w:val="22"/>
        </w:rPr>
      </w:pPr>
      <w:r w:rsidRPr="009C0252">
        <w:rPr>
          <w:rFonts w:ascii="Arial" w:hAnsi="Arial" w:cs="Arial"/>
          <w:i/>
          <w:sz w:val="22"/>
        </w:rPr>
        <w:t xml:space="preserve">La oferta de la empresa Distribuidora y Envasadora de Química S.A. cumple con los criterios sostenibles solicitados en el pliego de condiciones y obtiene el 20%. </w:t>
      </w:r>
    </w:p>
    <w:p w:rsidR="009C0252" w:rsidRPr="009C0252" w:rsidRDefault="009C0252" w:rsidP="009C0252">
      <w:pPr>
        <w:keepNext/>
        <w:spacing w:before="120"/>
        <w:jc w:val="center"/>
        <w:outlineLvl w:val="0"/>
        <w:rPr>
          <w:rFonts w:ascii="Arial" w:hAnsi="Arial"/>
          <w:b/>
          <w:bCs/>
          <w:i/>
          <w:szCs w:val="20"/>
        </w:rPr>
      </w:pPr>
      <w:r w:rsidRPr="009C0252">
        <w:rPr>
          <w:rFonts w:ascii="Arial" w:hAnsi="Arial"/>
          <w:b/>
          <w:bCs/>
          <w:i/>
          <w:szCs w:val="20"/>
        </w:rPr>
        <w:t>Cuadro N°4</w:t>
      </w:r>
    </w:p>
    <w:p w:rsidR="009C0252" w:rsidRPr="009C0252" w:rsidRDefault="009C0252" w:rsidP="009C0252">
      <w:pPr>
        <w:spacing w:before="120"/>
        <w:jc w:val="center"/>
        <w:rPr>
          <w:rFonts w:ascii="Arial" w:hAnsi="Arial" w:cs="Arial"/>
          <w:i/>
          <w:sz w:val="22"/>
          <w:szCs w:val="22"/>
        </w:rPr>
      </w:pPr>
      <w:r w:rsidRPr="009C0252">
        <w:rPr>
          <w:rFonts w:ascii="Arial" w:hAnsi="Arial" w:cs="Arial"/>
          <w:i/>
          <w:sz w:val="22"/>
          <w:szCs w:val="22"/>
        </w:rPr>
        <w:t>Evaluación de Experiencia</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4681"/>
        <w:gridCol w:w="1726"/>
      </w:tblGrid>
      <w:tr w:rsidR="009C0252" w:rsidRPr="009C0252" w:rsidTr="00B77C01">
        <w:trPr>
          <w:trHeight w:val="1062"/>
          <w:jc w:val="center"/>
        </w:trPr>
        <w:tc>
          <w:tcPr>
            <w:tcW w:w="1815" w:type="dxa"/>
            <w:shd w:val="clear" w:color="auto" w:fill="auto"/>
            <w:noWrap/>
            <w:vAlign w:val="center"/>
            <w:hideMark/>
          </w:tcPr>
          <w:p w:rsidR="009C0252" w:rsidRPr="009C0252" w:rsidRDefault="009C0252" w:rsidP="009C0252">
            <w:pPr>
              <w:jc w:val="center"/>
              <w:rPr>
                <w:rFonts w:ascii="Arial" w:hAnsi="Arial" w:cs="Arial"/>
                <w:b/>
                <w:i/>
                <w:sz w:val="20"/>
                <w:szCs w:val="20"/>
              </w:rPr>
            </w:pPr>
            <w:r w:rsidRPr="009C0252">
              <w:rPr>
                <w:rFonts w:ascii="Arial" w:hAnsi="Arial" w:cs="Arial"/>
                <w:b/>
                <w:i/>
                <w:sz w:val="20"/>
                <w:szCs w:val="20"/>
              </w:rPr>
              <w:t>Factor de evaluación</w:t>
            </w:r>
          </w:p>
        </w:tc>
        <w:tc>
          <w:tcPr>
            <w:tcW w:w="4681" w:type="dxa"/>
            <w:vAlign w:val="center"/>
          </w:tcPr>
          <w:p w:rsidR="009C0252" w:rsidRPr="009C0252" w:rsidRDefault="009C0252" w:rsidP="009C0252">
            <w:pPr>
              <w:jc w:val="center"/>
              <w:rPr>
                <w:rFonts w:ascii="Arial" w:hAnsi="Arial" w:cs="Arial"/>
                <w:b/>
                <w:bCs/>
                <w:i/>
                <w:iCs/>
                <w:sz w:val="20"/>
                <w:szCs w:val="20"/>
              </w:rPr>
            </w:pPr>
            <w:r w:rsidRPr="009C0252">
              <w:rPr>
                <w:rFonts w:ascii="Arial" w:hAnsi="Arial" w:cs="Arial"/>
                <w:b/>
                <w:bCs/>
                <w:i/>
                <w:iCs/>
                <w:sz w:val="20"/>
                <w:szCs w:val="20"/>
              </w:rPr>
              <w:t>Forma de calificación</w:t>
            </w:r>
          </w:p>
        </w:tc>
        <w:tc>
          <w:tcPr>
            <w:tcW w:w="1726" w:type="dxa"/>
            <w:shd w:val="clear" w:color="auto" w:fill="auto"/>
            <w:noWrap/>
            <w:hideMark/>
          </w:tcPr>
          <w:p w:rsidR="009C0252" w:rsidRPr="009C0252" w:rsidRDefault="009C0252" w:rsidP="009C0252">
            <w:pPr>
              <w:jc w:val="center"/>
              <w:rPr>
                <w:rFonts w:ascii="Arial" w:hAnsi="Arial" w:cs="Arial"/>
                <w:b/>
                <w:i/>
                <w:sz w:val="20"/>
                <w:szCs w:val="20"/>
              </w:rPr>
            </w:pPr>
          </w:p>
          <w:p w:rsidR="009C0252" w:rsidRPr="009C0252" w:rsidRDefault="009C0252" w:rsidP="009C0252">
            <w:pPr>
              <w:jc w:val="center"/>
              <w:rPr>
                <w:rFonts w:ascii="Calibri Light" w:hAnsi="Calibri Light" w:cs="Arial"/>
                <w:b/>
                <w:bCs/>
                <w:i/>
                <w:iCs/>
                <w:sz w:val="20"/>
                <w:szCs w:val="20"/>
              </w:rPr>
            </w:pPr>
            <w:r w:rsidRPr="009C0252">
              <w:rPr>
                <w:rFonts w:ascii="Arial" w:hAnsi="Arial" w:cs="Arial"/>
                <w:b/>
                <w:i/>
                <w:sz w:val="20"/>
                <w:szCs w:val="20"/>
              </w:rPr>
              <w:t>Distribuidora y Envasadora de Químicos S.A.</w:t>
            </w:r>
          </w:p>
        </w:tc>
      </w:tr>
      <w:tr w:rsidR="009C0252" w:rsidRPr="009C0252" w:rsidTr="00B77C01">
        <w:trPr>
          <w:trHeight w:val="458"/>
          <w:jc w:val="center"/>
        </w:trPr>
        <w:tc>
          <w:tcPr>
            <w:tcW w:w="1815" w:type="dxa"/>
            <w:shd w:val="clear" w:color="auto" w:fill="auto"/>
            <w:noWrap/>
            <w:vAlign w:val="center"/>
            <w:hideMark/>
          </w:tcPr>
          <w:p w:rsidR="009C0252" w:rsidRPr="009C0252" w:rsidRDefault="009C0252" w:rsidP="009C0252">
            <w:pPr>
              <w:spacing w:before="120"/>
              <w:rPr>
                <w:rFonts w:ascii="Arial" w:hAnsi="Arial" w:cs="Arial"/>
                <w:i/>
                <w:sz w:val="20"/>
                <w:szCs w:val="20"/>
              </w:rPr>
            </w:pPr>
            <w:r w:rsidRPr="009C0252">
              <w:rPr>
                <w:rFonts w:ascii="Arial" w:hAnsi="Arial" w:cs="Arial"/>
                <w:i/>
                <w:sz w:val="20"/>
                <w:szCs w:val="20"/>
              </w:rPr>
              <w:t>Experiencia en Años</w:t>
            </w:r>
          </w:p>
        </w:tc>
        <w:tc>
          <w:tcPr>
            <w:tcW w:w="4681" w:type="dxa"/>
          </w:tcPr>
          <w:tbl>
            <w:tblPr>
              <w:tblpPr w:leftFromText="141" w:rightFromText="141" w:vertAnchor="text" w:horzAnchor="margin" w:tblpXSpec="center" w:tblpY="25"/>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134"/>
            </w:tblGrid>
            <w:tr w:rsidR="009C0252" w:rsidRPr="009C0252" w:rsidTr="00B77C01">
              <w:trPr>
                <w:trHeight w:val="238"/>
              </w:trPr>
              <w:tc>
                <w:tcPr>
                  <w:tcW w:w="3397"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center"/>
                    <w:rPr>
                      <w:rFonts w:ascii="Arial" w:eastAsia="MS Mincho" w:hAnsi="Arial" w:cs="Arial"/>
                      <w:b/>
                      <w:i/>
                      <w:sz w:val="20"/>
                      <w:szCs w:val="20"/>
                      <w:lang w:val="es-CR" w:eastAsia="ar-SA"/>
                    </w:rPr>
                  </w:pPr>
                  <w:r w:rsidRPr="009C0252">
                    <w:rPr>
                      <w:rFonts w:ascii="Arial" w:eastAsia="MS Mincho" w:hAnsi="Arial" w:cs="Arial"/>
                      <w:b/>
                      <w:i/>
                      <w:sz w:val="20"/>
                      <w:szCs w:val="20"/>
                      <w:lang w:val="es-CR" w:eastAsia="ar-SA"/>
                    </w:rPr>
                    <w:t>Años de Experiencia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center"/>
                    <w:rPr>
                      <w:rFonts w:ascii="Arial" w:eastAsia="MS Mincho" w:hAnsi="Arial" w:cs="Arial"/>
                      <w:b/>
                      <w:i/>
                      <w:sz w:val="20"/>
                      <w:szCs w:val="20"/>
                      <w:lang w:val="es-CR" w:eastAsia="ar-SA"/>
                    </w:rPr>
                  </w:pPr>
                  <w:r w:rsidRPr="009C0252">
                    <w:rPr>
                      <w:rFonts w:ascii="Arial" w:eastAsia="MS Mincho" w:hAnsi="Arial" w:cs="Arial"/>
                      <w:b/>
                      <w:i/>
                      <w:sz w:val="20"/>
                      <w:szCs w:val="20"/>
                      <w:lang w:val="es-CR" w:eastAsia="ar-SA"/>
                    </w:rPr>
                    <w:t>Puntaje Otorgado</w:t>
                  </w:r>
                </w:p>
              </w:tc>
            </w:tr>
            <w:tr w:rsidR="009C0252" w:rsidRPr="009C0252" w:rsidTr="00B77C01">
              <w:trPr>
                <w:trHeight w:val="238"/>
              </w:trPr>
              <w:tc>
                <w:tcPr>
                  <w:tcW w:w="3397"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both"/>
                    <w:rPr>
                      <w:rFonts w:ascii="Arial" w:eastAsia="MS Mincho" w:hAnsi="Arial" w:cs="Arial"/>
                      <w:i/>
                      <w:sz w:val="20"/>
                      <w:szCs w:val="20"/>
                      <w:lang w:val="es-CR" w:eastAsia="ar-SA"/>
                    </w:rPr>
                  </w:pPr>
                  <w:r w:rsidRPr="009C0252">
                    <w:rPr>
                      <w:rFonts w:ascii="Arial" w:eastAsia="MS Mincho" w:hAnsi="Arial" w:cs="Arial"/>
                      <w:i/>
                      <w:sz w:val="20"/>
                      <w:szCs w:val="20"/>
                      <w:lang w:val="es-CR" w:eastAsia="ar-SA"/>
                    </w:rPr>
                    <w:t>Superior a 5 y hasta igual a 7 años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center"/>
                    <w:rPr>
                      <w:rFonts w:ascii="Arial" w:eastAsia="MS Mincho" w:hAnsi="Arial" w:cs="Arial"/>
                      <w:b/>
                      <w:i/>
                      <w:sz w:val="20"/>
                      <w:szCs w:val="20"/>
                      <w:lang w:val="es-CR" w:eastAsia="ar-SA"/>
                    </w:rPr>
                  </w:pPr>
                  <w:r w:rsidRPr="009C0252">
                    <w:rPr>
                      <w:rFonts w:ascii="Arial" w:eastAsia="MS Mincho" w:hAnsi="Arial" w:cs="Arial"/>
                      <w:b/>
                      <w:i/>
                      <w:sz w:val="20"/>
                      <w:szCs w:val="20"/>
                      <w:lang w:val="es-CR" w:eastAsia="ar-SA"/>
                    </w:rPr>
                    <w:t>4%</w:t>
                  </w:r>
                </w:p>
              </w:tc>
            </w:tr>
            <w:tr w:rsidR="009C0252" w:rsidRPr="009C0252" w:rsidTr="00B77C01">
              <w:trPr>
                <w:trHeight w:val="253"/>
              </w:trPr>
              <w:tc>
                <w:tcPr>
                  <w:tcW w:w="3397"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both"/>
                    <w:rPr>
                      <w:rFonts w:ascii="Arial" w:eastAsia="MS Mincho" w:hAnsi="Arial" w:cs="Arial"/>
                      <w:i/>
                      <w:sz w:val="20"/>
                      <w:szCs w:val="20"/>
                      <w:lang w:val="es-CR" w:eastAsia="ar-SA"/>
                    </w:rPr>
                  </w:pPr>
                  <w:r w:rsidRPr="009C0252">
                    <w:rPr>
                      <w:rFonts w:ascii="Arial" w:eastAsia="MS Mincho" w:hAnsi="Arial" w:cs="Arial"/>
                      <w:i/>
                      <w:sz w:val="20"/>
                      <w:szCs w:val="20"/>
                      <w:lang w:val="es-CR" w:eastAsia="ar-SA"/>
                    </w:rPr>
                    <w:t>Superior a 7 y hasta igual 10 años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center"/>
                    <w:rPr>
                      <w:rFonts w:ascii="Arial" w:eastAsia="MS Mincho" w:hAnsi="Arial" w:cs="Arial"/>
                      <w:b/>
                      <w:i/>
                      <w:sz w:val="20"/>
                      <w:szCs w:val="20"/>
                      <w:lang w:val="es-CR" w:eastAsia="ar-SA"/>
                    </w:rPr>
                  </w:pPr>
                  <w:r w:rsidRPr="009C0252">
                    <w:rPr>
                      <w:rFonts w:ascii="Arial" w:eastAsia="MS Mincho" w:hAnsi="Arial" w:cs="Arial"/>
                      <w:b/>
                      <w:i/>
                      <w:sz w:val="20"/>
                      <w:szCs w:val="20"/>
                      <w:lang w:val="es-CR" w:eastAsia="ar-SA"/>
                    </w:rPr>
                    <w:t>6%</w:t>
                  </w:r>
                </w:p>
              </w:tc>
            </w:tr>
            <w:tr w:rsidR="009C0252" w:rsidRPr="009C0252" w:rsidTr="00B77C01">
              <w:trPr>
                <w:trHeight w:val="253"/>
              </w:trPr>
              <w:tc>
                <w:tcPr>
                  <w:tcW w:w="3397"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both"/>
                    <w:rPr>
                      <w:rFonts w:ascii="Arial" w:eastAsia="MS Mincho" w:hAnsi="Arial" w:cs="Arial"/>
                      <w:i/>
                      <w:sz w:val="20"/>
                      <w:szCs w:val="20"/>
                      <w:lang w:val="es-CR" w:eastAsia="ar-SA"/>
                    </w:rPr>
                  </w:pPr>
                  <w:r w:rsidRPr="009C0252">
                    <w:rPr>
                      <w:rFonts w:ascii="Arial" w:eastAsia="MS Mincho" w:hAnsi="Arial" w:cs="Arial"/>
                      <w:i/>
                      <w:sz w:val="20"/>
                      <w:szCs w:val="20"/>
                      <w:lang w:val="es-CR" w:eastAsia="ar-SA"/>
                    </w:rPr>
                    <w:t xml:space="preserve">Superior a 10 años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tabs>
                      <w:tab w:val="left" w:pos="-720"/>
                      <w:tab w:val="left" w:pos="0"/>
                    </w:tabs>
                    <w:suppressAutoHyphens/>
                    <w:spacing w:before="120"/>
                    <w:jc w:val="center"/>
                    <w:rPr>
                      <w:rFonts w:ascii="Arial" w:eastAsia="MS Mincho" w:hAnsi="Arial" w:cs="Arial"/>
                      <w:i/>
                      <w:sz w:val="20"/>
                      <w:szCs w:val="20"/>
                      <w:lang w:val="es-CR" w:eastAsia="ar-SA"/>
                    </w:rPr>
                  </w:pPr>
                  <w:r w:rsidRPr="009C0252">
                    <w:rPr>
                      <w:rFonts w:ascii="Arial" w:eastAsia="MS Mincho" w:hAnsi="Arial" w:cs="Arial"/>
                      <w:i/>
                      <w:sz w:val="20"/>
                      <w:szCs w:val="20"/>
                      <w:lang w:val="es-CR" w:eastAsia="ar-SA"/>
                    </w:rPr>
                    <w:t>10%</w:t>
                  </w:r>
                </w:p>
              </w:tc>
            </w:tr>
          </w:tbl>
          <w:p w:rsidR="009C0252" w:rsidRPr="009C0252" w:rsidRDefault="009C0252" w:rsidP="009C0252">
            <w:pPr>
              <w:spacing w:before="120"/>
              <w:rPr>
                <w:rFonts w:ascii="Arial" w:hAnsi="Arial" w:cs="Arial"/>
                <w:i/>
                <w:sz w:val="20"/>
                <w:szCs w:val="20"/>
              </w:rPr>
            </w:pPr>
          </w:p>
        </w:tc>
        <w:tc>
          <w:tcPr>
            <w:tcW w:w="1726" w:type="dxa"/>
            <w:shd w:val="clear" w:color="auto" w:fill="auto"/>
            <w:noWrap/>
            <w:vAlign w:val="center"/>
          </w:tcPr>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Del 2002 al 2018</w:t>
            </w:r>
          </w:p>
          <w:p w:rsidR="009C0252" w:rsidRPr="009C0252" w:rsidRDefault="009C0252" w:rsidP="009C0252">
            <w:pPr>
              <w:spacing w:before="120"/>
              <w:jc w:val="center"/>
              <w:rPr>
                <w:rFonts w:ascii="Arial" w:hAnsi="Arial" w:cs="Arial"/>
                <w:i/>
                <w:sz w:val="20"/>
                <w:szCs w:val="20"/>
              </w:rPr>
            </w:pPr>
          </w:p>
          <w:p w:rsidR="009C0252" w:rsidRPr="009C0252" w:rsidRDefault="009C0252" w:rsidP="009C0252">
            <w:pPr>
              <w:spacing w:before="120"/>
              <w:jc w:val="center"/>
              <w:rPr>
                <w:rFonts w:ascii="Arial" w:hAnsi="Arial" w:cs="Arial"/>
                <w:i/>
                <w:sz w:val="20"/>
                <w:szCs w:val="20"/>
              </w:rPr>
            </w:pPr>
          </w:p>
          <w:p w:rsidR="009C0252" w:rsidRPr="009C0252" w:rsidRDefault="009C0252" w:rsidP="009C0252">
            <w:pPr>
              <w:spacing w:before="120"/>
              <w:jc w:val="center"/>
              <w:rPr>
                <w:rFonts w:ascii="Arial" w:hAnsi="Arial" w:cs="Arial"/>
                <w:i/>
                <w:sz w:val="20"/>
                <w:szCs w:val="20"/>
              </w:rPr>
            </w:pPr>
            <w:r w:rsidRPr="009C0252">
              <w:rPr>
                <w:rFonts w:ascii="Arial" w:hAnsi="Arial" w:cs="Arial"/>
                <w:i/>
                <w:sz w:val="20"/>
                <w:szCs w:val="20"/>
              </w:rPr>
              <w:t>16 años</w:t>
            </w:r>
          </w:p>
        </w:tc>
      </w:tr>
      <w:tr w:rsidR="009C0252" w:rsidRPr="009C0252" w:rsidTr="00B77C01">
        <w:trPr>
          <w:trHeight w:val="442"/>
          <w:jc w:val="center"/>
        </w:trPr>
        <w:tc>
          <w:tcPr>
            <w:tcW w:w="6496" w:type="dxa"/>
            <w:gridSpan w:val="2"/>
            <w:shd w:val="clear" w:color="auto" w:fill="auto"/>
            <w:noWrap/>
            <w:vAlign w:val="bottom"/>
            <w:hideMark/>
          </w:tcPr>
          <w:p w:rsidR="009C0252" w:rsidRPr="009C0252" w:rsidRDefault="009C0252" w:rsidP="009C0252">
            <w:pPr>
              <w:spacing w:before="120"/>
              <w:rPr>
                <w:rFonts w:ascii="Arial" w:hAnsi="Arial" w:cs="Arial"/>
                <w:b/>
                <w:i/>
                <w:sz w:val="20"/>
                <w:szCs w:val="20"/>
              </w:rPr>
            </w:pPr>
            <w:r w:rsidRPr="009C0252">
              <w:rPr>
                <w:rFonts w:ascii="Arial" w:hAnsi="Arial" w:cs="Arial"/>
                <w:b/>
                <w:i/>
                <w:sz w:val="20"/>
                <w:szCs w:val="20"/>
              </w:rPr>
              <w:t xml:space="preserve">Puntaje obtenido </w:t>
            </w:r>
          </w:p>
        </w:tc>
        <w:tc>
          <w:tcPr>
            <w:tcW w:w="1726" w:type="dxa"/>
            <w:shd w:val="clear" w:color="auto" w:fill="auto"/>
            <w:noWrap/>
            <w:vAlign w:val="bottom"/>
          </w:tcPr>
          <w:p w:rsidR="009C0252" w:rsidRPr="009C0252" w:rsidRDefault="009C0252" w:rsidP="009C0252">
            <w:pPr>
              <w:spacing w:before="120"/>
              <w:jc w:val="center"/>
              <w:rPr>
                <w:rFonts w:ascii="Arial" w:hAnsi="Arial" w:cs="Arial"/>
                <w:b/>
                <w:i/>
                <w:sz w:val="20"/>
                <w:szCs w:val="20"/>
              </w:rPr>
            </w:pPr>
            <w:r w:rsidRPr="009C0252">
              <w:rPr>
                <w:rFonts w:ascii="Arial" w:hAnsi="Arial" w:cs="Arial"/>
                <w:b/>
                <w:i/>
                <w:sz w:val="20"/>
                <w:szCs w:val="20"/>
              </w:rPr>
              <w:t>10%</w:t>
            </w:r>
          </w:p>
        </w:tc>
      </w:tr>
    </w:tbl>
    <w:p w:rsidR="009C0252" w:rsidRPr="009C0252" w:rsidRDefault="009C0252" w:rsidP="009C0252">
      <w:pPr>
        <w:spacing w:before="120"/>
        <w:contextualSpacing/>
        <w:jc w:val="both"/>
        <w:rPr>
          <w:rFonts w:ascii="Arial" w:hAnsi="Arial" w:cs="Arial"/>
          <w:sz w:val="22"/>
        </w:rPr>
      </w:pPr>
    </w:p>
    <w:p w:rsidR="009C0252" w:rsidRPr="009C0252" w:rsidRDefault="009C0252" w:rsidP="009C0252">
      <w:pPr>
        <w:spacing w:before="120"/>
        <w:contextualSpacing/>
        <w:jc w:val="both"/>
        <w:rPr>
          <w:rFonts w:ascii="Arial" w:hAnsi="Arial" w:cs="Arial"/>
          <w:i/>
          <w:sz w:val="22"/>
        </w:rPr>
      </w:pPr>
      <w:r w:rsidRPr="009C0252">
        <w:rPr>
          <w:rFonts w:ascii="Arial" w:hAnsi="Arial" w:cs="Arial"/>
          <w:i/>
          <w:sz w:val="22"/>
        </w:rPr>
        <w:t xml:space="preserve">La oferta de la empresa Distribuidora y Envasadora de Química S.A. posee 16 años de experiencia y obtiene el máximo puntaje asignado a este factor, 10%. </w:t>
      </w:r>
    </w:p>
    <w:p w:rsidR="009C0252" w:rsidRPr="009C0252" w:rsidRDefault="009C0252" w:rsidP="009C0252">
      <w:pPr>
        <w:keepNext/>
        <w:spacing w:before="120"/>
        <w:jc w:val="center"/>
        <w:outlineLvl w:val="0"/>
        <w:rPr>
          <w:rFonts w:ascii="Arial" w:hAnsi="Arial"/>
          <w:b/>
          <w:bCs/>
          <w:i/>
          <w:sz w:val="22"/>
          <w:szCs w:val="22"/>
        </w:rPr>
      </w:pPr>
      <w:r w:rsidRPr="009C0252">
        <w:rPr>
          <w:rFonts w:ascii="Arial" w:hAnsi="Arial"/>
          <w:b/>
          <w:bCs/>
          <w:i/>
          <w:sz w:val="22"/>
          <w:szCs w:val="22"/>
        </w:rPr>
        <w:lastRenderedPageBreak/>
        <w:t>Cuadro N°5</w:t>
      </w:r>
    </w:p>
    <w:p w:rsidR="009C0252" w:rsidRPr="009C0252" w:rsidRDefault="009C0252" w:rsidP="009C0252">
      <w:pPr>
        <w:spacing w:before="120"/>
        <w:jc w:val="center"/>
        <w:rPr>
          <w:rFonts w:ascii="Arial" w:hAnsi="Arial" w:cs="Arial"/>
          <w:i/>
          <w:sz w:val="22"/>
          <w:szCs w:val="22"/>
        </w:rPr>
      </w:pPr>
      <w:r w:rsidRPr="009C0252">
        <w:rPr>
          <w:rFonts w:ascii="Arial" w:hAnsi="Arial" w:cs="Arial"/>
          <w:i/>
          <w:sz w:val="22"/>
          <w:szCs w:val="22"/>
        </w:rPr>
        <w:t>Resultado total de evaluación</w:t>
      </w:r>
    </w:p>
    <w:tbl>
      <w:tblPr>
        <w:tblW w:w="6278" w:type="dxa"/>
        <w:jc w:val="center"/>
        <w:tblCellMar>
          <w:left w:w="0" w:type="dxa"/>
          <w:right w:w="0" w:type="dxa"/>
        </w:tblCellMar>
        <w:tblLook w:val="04A0" w:firstRow="1" w:lastRow="0" w:firstColumn="1" w:lastColumn="0" w:noHBand="0" w:noVBand="1"/>
      </w:tblPr>
      <w:tblGrid>
        <w:gridCol w:w="2600"/>
        <w:gridCol w:w="1341"/>
        <w:gridCol w:w="2337"/>
      </w:tblGrid>
      <w:tr w:rsidR="009C0252" w:rsidRPr="009C0252" w:rsidTr="00B77C01">
        <w:trPr>
          <w:trHeight w:val="362"/>
          <w:jc w:val="center"/>
        </w:trPr>
        <w:tc>
          <w:tcPr>
            <w:tcW w:w="2657" w:type="dxa"/>
            <w:tcBorders>
              <w:top w:val="single" w:sz="12" w:space="0" w:color="000000"/>
              <w:left w:val="single" w:sz="4" w:space="0" w:color="auto"/>
              <w:bottom w:val="single" w:sz="8" w:space="0" w:color="000000"/>
              <w:right w:val="single" w:sz="4" w:space="0" w:color="auto"/>
            </w:tcBorders>
            <w:tcMar>
              <w:top w:w="0" w:type="dxa"/>
              <w:left w:w="108" w:type="dxa"/>
              <w:bottom w:w="0" w:type="dxa"/>
              <w:right w:w="108" w:type="dxa"/>
            </w:tcMar>
            <w:vAlign w:val="center"/>
          </w:tcPr>
          <w:p w:rsidR="009C0252" w:rsidRPr="009C0252" w:rsidRDefault="009C0252" w:rsidP="009C0252">
            <w:pPr>
              <w:spacing w:before="120"/>
              <w:jc w:val="center"/>
              <w:rPr>
                <w:rFonts w:ascii="Arial" w:hAnsi="Arial" w:cs="Arial"/>
                <w:b/>
                <w:bCs/>
                <w:i/>
                <w:iCs/>
                <w:sz w:val="22"/>
                <w:szCs w:val="22"/>
              </w:rPr>
            </w:pPr>
          </w:p>
          <w:p w:rsidR="009C0252" w:rsidRPr="009C0252" w:rsidRDefault="009C0252" w:rsidP="009C0252">
            <w:pPr>
              <w:spacing w:before="120"/>
              <w:jc w:val="center"/>
              <w:rPr>
                <w:rFonts w:ascii="Arial" w:hAnsi="Arial" w:cs="Arial"/>
                <w:b/>
                <w:bCs/>
                <w:i/>
                <w:iCs/>
                <w:sz w:val="22"/>
                <w:szCs w:val="22"/>
              </w:rPr>
            </w:pPr>
            <w:r w:rsidRPr="009C0252">
              <w:rPr>
                <w:rFonts w:ascii="Arial" w:hAnsi="Arial" w:cs="Arial"/>
                <w:b/>
                <w:bCs/>
                <w:i/>
                <w:iCs/>
                <w:sz w:val="22"/>
                <w:szCs w:val="22"/>
              </w:rPr>
              <w:t>Factor</w:t>
            </w:r>
          </w:p>
        </w:tc>
        <w:tc>
          <w:tcPr>
            <w:tcW w:w="1239" w:type="dxa"/>
            <w:tcBorders>
              <w:top w:val="single" w:sz="12" w:space="0" w:color="000000"/>
              <w:left w:val="single" w:sz="4" w:space="0" w:color="auto"/>
              <w:bottom w:val="single" w:sz="8" w:space="0" w:color="000000"/>
              <w:right w:val="single" w:sz="4" w:space="0" w:color="auto"/>
            </w:tcBorders>
            <w:tcMar>
              <w:top w:w="0" w:type="dxa"/>
              <w:left w:w="108" w:type="dxa"/>
              <w:bottom w:w="0" w:type="dxa"/>
              <w:right w:w="108" w:type="dxa"/>
            </w:tcMar>
            <w:vAlign w:val="center"/>
          </w:tcPr>
          <w:p w:rsidR="009C0252" w:rsidRPr="009C0252" w:rsidRDefault="009C0252" w:rsidP="009C0252">
            <w:pPr>
              <w:spacing w:before="120"/>
              <w:jc w:val="center"/>
              <w:rPr>
                <w:rFonts w:ascii="Arial" w:hAnsi="Arial" w:cs="Arial"/>
                <w:b/>
                <w:bCs/>
                <w:i/>
                <w:iCs/>
                <w:sz w:val="22"/>
                <w:szCs w:val="22"/>
              </w:rPr>
            </w:pPr>
          </w:p>
          <w:p w:rsidR="009C0252" w:rsidRPr="009C0252" w:rsidRDefault="009C0252" w:rsidP="009C0252">
            <w:pPr>
              <w:spacing w:before="120"/>
              <w:jc w:val="center"/>
              <w:rPr>
                <w:rFonts w:ascii="Arial" w:hAnsi="Arial" w:cs="Arial"/>
                <w:b/>
                <w:bCs/>
                <w:i/>
                <w:iCs/>
                <w:sz w:val="22"/>
                <w:szCs w:val="22"/>
              </w:rPr>
            </w:pPr>
            <w:r w:rsidRPr="009C0252">
              <w:rPr>
                <w:rFonts w:ascii="Arial" w:hAnsi="Arial" w:cs="Arial"/>
                <w:b/>
                <w:bCs/>
                <w:i/>
                <w:iCs/>
                <w:sz w:val="22"/>
                <w:szCs w:val="22"/>
              </w:rPr>
              <w:t>Porcentaje</w:t>
            </w:r>
          </w:p>
        </w:tc>
        <w:tc>
          <w:tcPr>
            <w:tcW w:w="2382" w:type="dxa"/>
            <w:tcBorders>
              <w:top w:val="single" w:sz="12" w:space="0" w:color="000000"/>
              <w:left w:val="single" w:sz="4" w:space="0" w:color="auto"/>
              <w:bottom w:val="single" w:sz="8" w:space="0" w:color="000000"/>
              <w:right w:val="single" w:sz="4" w:space="0" w:color="auto"/>
            </w:tcBorders>
            <w:hideMark/>
          </w:tcPr>
          <w:p w:rsidR="009C0252" w:rsidRPr="009C0252" w:rsidRDefault="009C0252" w:rsidP="009C0252">
            <w:pPr>
              <w:spacing w:before="120"/>
              <w:jc w:val="center"/>
              <w:rPr>
                <w:rFonts w:ascii="Arial" w:hAnsi="Arial" w:cs="Arial"/>
                <w:b/>
                <w:bCs/>
                <w:i/>
                <w:iCs/>
                <w:sz w:val="22"/>
                <w:szCs w:val="22"/>
              </w:rPr>
            </w:pPr>
            <w:r w:rsidRPr="009C0252">
              <w:rPr>
                <w:rFonts w:ascii="Arial" w:hAnsi="Arial" w:cs="Arial"/>
                <w:b/>
                <w:i/>
                <w:sz w:val="22"/>
                <w:szCs w:val="22"/>
              </w:rPr>
              <w:t>Distribuidora y Envasadora de Químicos S.A.</w:t>
            </w:r>
          </w:p>
        </w:tc>
      </w:tr>
      <w:tr w:rsidR="009C0252" w:rsidRPr="009C0252" w:rsidTr="00B77C01">
        <w:trPr>
          <w:trHeight w:val="148"/>
          <w:jc w:val="center"/>
        </w:trPr>
        <w:tc>
          <w:tcPr>
            <w:tcW w:w="265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C0252" w:rsidRPr="009C0252" w:rsidRDefault="009C0252" w:rsidP="009C0252">
            <w:pPr>
              <w:tabs>
                <w:tab w:val="left" w:pos="426"/>
              </w:tabs>
              <w:spacing w:before="120"/>
              <w:jc w:val="both"/>
              <w:rPr>
                <w:rFonts w:ascii="Arial" w:hAnsi="Arial" w:cs="Arial"/>
                <w:i/>
                <w:sz w:val="22"/>
                <w:szCs w:val="22"/>
              </w:rPr>
            </w:pPr>
            <w:r w:rsidRPr="009C0252">
              <w:rPr>
                <w:rFonts w:ascii="Arial" w:hAnsi="Arial" w:cs="Arial"/>
                <w:i/>
                <w:sz w:val="22"/>
                <w:szCs w:val="22"/>
              </w:rPr>
              <w:t>Precio</w:t>
            </w:r>
          </w:p>
        </w:tc>
        <w:tc>
          <w:tcPr>
            <w:tcW w:w="123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jc w:val="center"/>
              <w:rPr>
                <w:rFonts w:ascii="Arial" w:hAnsi="Arial" w:cs="Arial"/>
                <w:i/>
                <w:sz w:val="22"/>
                <w:szCs w:val="22"/>
              </w:rPr>
            </w:pPr>
            <w:r w:rsidRPr="009C0252">
              <w:rPr>
                <w:rFonts w:ascii="Arial" w:hAnsi="Arial" w:cs="Arial"/>
                <w:i/>
                <w:sz w:val="22"/>
                <w:szCs w:val="22"/>
              </w:rPr>
              <w:t>70%</w:t>
            </w:r>
          </w:p>
        </w:tc>
        <w:tc>
          <w:tcPr>
            <w:tcW w:w="2382" w:type="dxa"/>
            <w:tcBorders>
              <w:top w:val="nil"/>
              <w:left w:val="single" w:sz="4" w:space="0" w:color="auto"/>
              <w:bottom w:val="single" w:sz="4" w:space="0" w:color="auto"/>
              <w:right w:val="single" w:sz="4" w:space="0" w:color="auto"/>
            </w:tcBorders>
            <w:vAlign w:val="bottom"/>
            <w:hideMark/>
          </w:tcPr>
          <w:p w:rsidR="009C0252" w:rsidRPr="009C0252" w:rsidRDefault="009C0252" w:rsidP="009C0252">
            <w:pPr>
              <w:spacing w:before="120"/>
              <w:jc w:val="center"/>
              <w:rPr>
                <w:rFonts w:ascii="Arial" w:hAnsi="Arial" w:cs="Arial"/>
                <w:i/>
                <w:sz w:val="22"/>
                <w:szCs w:val="22"/>
              </w:rPr>
            </w:pPr>
            <w:r w:rsidRPr="009C0252">
              <w:rPr>
                <w:rFonts w:ascii="Calibri" w:hAnsi="Calibri" w:cs="Calibri"/>
                <w:i/>
                <w:sz w:val="22"/>
                <w:szCs w:val="22"/>
              </w:rPr>
              <w:t>70,00%</w:t>
            </w:r>
          </w:p>
        </w:tc>
      </w:tr>
      <w:tr w:rsidR="009C0252" w:rsidRPr="009C0252" w:rsidTr="00B77C01">
        <w:trPr>
          <w:trHeight w:val="169"/>
          <w:jc w:val="center"/>
        </w:trPr>
        <w:tc>
          <w:tcPr>
            <w:tcW w:w="265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9C0252" w:rsidRPr="009C0252" w:rsidRDefault="009C0252" w:rsidP="009C0252">
            <w:pPr>
              <w:tabs>
                <w:tab w:val="left" w:pos="426"/>
              </w:tabs>
              <w:spacing w:before="120"/>
              <w:rPr>
                <w:rFonts w:ascii="Arial" w:hAnsi="Arial" w:cs="Arial"/>
                <w:i/>
                <w:sz w:val="22"/>
                <w:szCs w:val="22"/>
              </w:rPr>
            </w:pPr>
            <w:r w:rsidRPr="009C0252">
              <w:rPr>
                <w:rFonts w:ascii="Arial" w:hAnsi="Arial" w:cs="Arial"/>
                <w:i/>
                <w:sz w:val="22"/>
                <w:szCs w:val="22"/>
              </w:rPr>
              <w:t xml:space="preserve">Criterios sostenibles </w:t>
            </w:r>
          </w:p>
        </w:tc>
        <w:tc>
          <w:tcPr>
            <w:tcW w:w="1239"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spacing w:before="120"/>
              <w:jc w:val="center"/>
              <w:rPr>
                <w:rFonts w:ascii="Arial" w:hAnsi="Arial" w:cs="Arial"/>
                <w:i/>
                <w:sz w:val="22"/>
                <w:szCs w:val="22"/>
              </w:rPr>
            </w:pPr>
            <w:r w:rsidRPr="009C0252">
              <w:rPr>
                <w:rFonts w:ascii="Arial" w:hAnsi="Arial" w:cs="Arial"/>
                <w:i/>
                <w:sz w:val="22"/>
                <w:szCs w:val="22"/>
              </w:rPr>
              <w:t>20%</w:t>
            </w:r>
          </w:p>
        </w:tc>
        <w:tc>
          <w:tcPr>
            <w:tcW w:w="2382" w:type="dxa"/>
            <w:tcBorders>
              <w:top w:val="single" w:sz="4" w:space="0" w:color="auto"/>
              <w:left w:val="single" w:sz="4" w:space="0" w:color="auto"/>
              <w:bottom w:val="single" w:sz="4" w:space="0" w:color="auto"/>
              <w:right w:val="single" w:sz="4" w:space="0" w:color="auto"/>
            </w:tcBorders>
            <w:vAlign w:val="bottom"/>
            <w:hideMark/>
          </w:tcPr>
          <w:p w:rsidR="009C0252" w:rsidRPr="009C0252" w:rsidRDefault="009C0252" w:rsidP="009C0252">
            <w:pPr>
              <w:spacing w:before="120"/>
              <w:jc w:val="center"/>
              <w:rPr>
                <w:rFonts w:ascii="Arial" w:hAnsi="Arial" w:cs="Arial"/>
                <w:i/>
                <w:sz w:val="22"/>
                <w:szCs w:val="22"/>
              </w:rPr>
            </w:pPr>
            <w:r w:rsidRPr="009C0252">
              <w:rPr>
                <w:rFonts w:ascii="Calibri" w:hAnsi="Calibri" w:cs="Calibri"/>
                <w:i/>
                <w:sz w:val="22"/>
                <w:szCs w:val="22"/>
              </w:rPr>
              <w:t>20%</w:t>
            </w:r>
          </w:p>
        </w:tc>
      </w:tr>
      <w:tr w:rsidR="009C0252" w:rsidRPr="009C0252" w:rsidTr="00B77C01">
        <w:trPr>
          <w:trHeight w:val="169"/>
          <w:jc w:val="center"/>
        </w:trPr>
        <w:tc>
          <w:tcPr>
            <w:tcW w:w="265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9C0252" w:rsidRPr="009C0252" w:rsidRDefault="009C0252" w:rsidP="009C0252">
            <w:pPr>
              <w:tabs>
                <w:tab w:val="left" w:pos="426"/>
              </w:tabs>
              <w:spacing w:before="120"/>
              <w:rPr>
                <w:rFonts w:ascii="Arial" w:hAnsi="Arial" w:cs="Arial"/>
                <w:i/>
                <w:sz w:val="22"/>
                <w:szCs w:val="22"/>
              </w:rPr>
            </w:pPr>
            <w:r w:rsidRPr="009C0252">
              <w:rPr>
                <w:rFonts w:ascii="Arial" w:hAnsi="Arial" w:cs="Arial"/>
                <w:i/>
                <w:sz w:val="22"/>
                <w:szCs w:val="22"/>
              </w:rPr>
              <w:t>Experiencia</w:t>
            </w:r>
          </w:p>
        </w:tc>
        <w:tc>
          <w:tcPr>
            <w:tcW w:w="1239"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spacing w:before="120"/>
              <w:jc w:val="center"/>
              <w:rPr>
                <w:rFonts w:ascii="Arial" w:hAnsi="Arial" w:cs="Arial"/>
                <w:i/>
                <w:sz w:val="22"/>
                <w:szCs w:val="22"/>
              </w:rPr>
            </w:pPr>
            <w:r w:rsidRPr="009C0252">
              <w:rPr>
                <w:rFonts w:ascii="Arial" w:hAnsi="Arial" w:cs="Arial"/>
                <w:i/>
                <w:sz w:val="22"/>
                <w:szCs w:val="22"/>
              </w:rPr>
              <w:t>10%</w:t>
            </w:r>
          </w:p>
        </w:tc>
        <w:tc>
          <w:tcPr>
            <w:tcW w:w="2382" w:type="dxa"/>
            <w:tcBorders>
              <w:top w:val="single" w:sz="4" w:space="0" w:color="auto"/>
              <w:left w:val="single" w:sz="4" w:space="0" w:color="auto"/>
              <w:bottom w:val="single" w:sz="4" w:space="0" w:color="auto"/>
              <w:right w:val="single" w:sz="4" w:space="0" w:color="auto"/>
            </w:tcBorders>
            <w:vAlign w:val="bottom"/>
            <w:hideMark/>
          </w:tcPr>
          <w:p w:rsidR="009C0252" w:rsidRPr="009C0252" w:rsidRDefault="009C0252" w:rsidP="009C0252">
            <w:pPr>
              <w:spacing w:before="120"/>
              <w:jc w:val="center"/>
              <w:rPr>
                <w:rFonts w:ascii="Arial" w:hAnsi="Arial" w:cs="Arial"/>
                <w:i/>
                <w:sz w:val="22"/>
                <w:szCs w:val="22"/>
              </w:rPr>
            </w:pPr>
            <w:r w:rsidRPr="009C0252">
              <w:rPr>
                <w:rFonts w:ascii="Calibri" w:hAnsi="Calibri" w:cs="Calibri"/>
                <w:i/>
                <w:sz w:val="22"/>
                <w:szCs w:val="22"/>
              </w:rPr>
              <w:t>10%</w:t>
            </w:r>
          </w:p>
        </w:tc>
      </w:tr>
      <w:tr w:rsidR="009C0252" w:rsidRPr="009C0252" w:rsidTr="00B77C01">
        <w:trPr>
          <w:trHeight w:val="190"/>
          <w:jc w:val="center"/>
        </w:trPr>
        <w:tc>
          <w:tcPr>
            <w:tcW w:w="2657" w:type="dxa"/>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rPr>
                <w:rFonts w:ascii="Arial" w:hAnsi="Arial" w:cs="Arial"/>
                <w:b/>
                <w:i/>
                <w:sz w:val="22"/>
                <w:szCs w:val="22"/>
              </w:rPr>
            </w:pPr>
            <w:r w:rsidRPr="009C0252">
              <w:rPr>
                <w:rFonts w:ascii="Arial" w:hAnsi="Arial" w:cs="Arial"/>
                <w:b/>
                <w:i/>
                <w:sz w:val="22"/>
                <w:szCs w:val="22"/>
              </w:rPr>
              <w:t>Total</w:t>
            </w:r>
          </w:p>
        </w:tc>
        <w:tc>
          <w:tcPr>
            <w:tcW w:w="1239" w:type="dxa"/>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jc w:val="center"/>
              <w:rPr>
                <w:rFonts w:ascii="Arial" w:hAnsi="Arial" w:cs="Arial"/>
                <w:b/>
                <w:i/>
                <w:sz w:val="22"/>
                <w:szCs w:val="22"/>
              </w:rPr>
            </w:pPr>
            <w:r w:rsidRPr="009C0252">
              <w:rPr>
                <w:rFonts w:ascii="Arial" w:hAnsi="Arial" w:cs="Arial"/>
                <w:b/>
                <w:i/>
                <w:sz w:val="22"/>
                <w:szCs w:val="22"/>
              </w:rPr>
              <w:t>100 %</w:t>
            </w:r>
          </w:p>
        </w:tc>
        <w:tc>
          <w:tcPr>
            <w:tcW w:w="2382" w:type="dxa"/>
            <w:tcBorders>
              <w:top w:val="single" w:sz="4" w:space="0" w:color="auto"/>
              <w:left w:val="single" w:sz="4" w:space="0" w:color="auto"/>
              <w:bottom w:val="single" w:sz="12" w:space="0" w:color="000000"/>
              <w:right w:val="single" w:sz="4" w:space="0" w:color="auto"/>
            </w:tcBorders>
            <w:vAlign w:val="bottom"/>
            <w:hideMark/>
          </w:tcPr>
          <w:p w:rsidR="009C0252" w:rsidRPr="009C0252" w:rsidRDefault="009C0252" w:rsidP="009C0252">
            <w:pPr>
              <w:spacing w:before="120"/>
              <w:jc w:val="center"/>
              <w:rPr>
                <w:rFonts w:ascii="Arial" w:hAnsi="Arial" w:cs="Arial"/>
                <w:b/>
                <w:i/>
                <w:sz w:val="22"/>
                <w:szCs w:val="22"/>
              </w:rPr>
            </w:pPr>
            <w:r w:rsidRPr="009C0252">
              <w:rPr>
                <w:rFonts w:ascii="Calibri" w:hAnsi="Calibri" w:cs="Calibri"/>
                <w:b/>
                <w:i/>
                <w:sz w:val="22"/>
                <w:szCs w:val="22"/>
              </w:rPr>
              <w:t>100%</w:t>
            </w:r>
          </w:p>
        </w:tc>
      </w:tr>
    </w:tbl>
    <w:p w:rsidR="009C0252" w:rsidRPr="009C0252" w:rsidRDefault="009C0252" w:rsidP="009C0252">
      <w:pPr>
        <w:spacing w:before="120"/>
        <w:rPr>
          <w:i/>
          <w:sz w:val="22"/>
          <w:szCs w:val="22"/>
        </w:rPr>
      </w:pP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Recomendación de Adjudicación</w:t>
      </w:r>
    </w:p>
    <w:p w:rsidR="009C0252" w:rsidRPr="009C0252" w:rsidRDefault="009C0252" w:rsidP="009C0252">
      <w:pPr>
        <w:spacing w:before="120"/>
        <w:ind w:left="426"/>
        <w:jc w:val="both"/>
        <w:rPr>
          <w:rFonts w:ascii="Arial" w:hAnsi="Arial" w:cs="Arial"/>
          <w:bCs/>
          <w:i/>
          <w:sz w:val="22"/>
          <w:szCs w:val="22"/>
        </w:rPr>
      </w:pPr>
      <w:r w:rsidRPr="009C0252">
        <w:rPr>
          <w:rFonts w:ascii="Arial" w:hAnsi="Arial" w:cs="Arial"/>
          <w:i/>
          <w:sz w:val="22"/>
          <w:szCs w:val="22"/>
        </w:rPr>
        <w:t xml:space="preserve">Con base en los resultados del estudio tanto legal como técnico y con fundamento en los oficios </w:t>
      </w:r>
      <w:r w:rsidRPr="009C0252">
        <w:rPr>
          <w:rFonts w:ascii="Arial" w:hAnsi="Arial" w:cs="Arial"/>
          <w:bCs/>
          <w:i/>
          <w:sz w:val="22"/>
          <w:szCs w:val="22"/>
        </w:rPr>
        <w:t xml:space="preserve">AL-274-2018, GASEL-009-2019 y SG-19-2019, </w:t>
      </w:r>
      <w:r w:rsidRPr="009C0252">
        <w:rPr>
          <w:rFonts w:ascii="Arial" w:hAnsi="Arial" w:cs="Arial"/>
          <w:i/>
          <w:sz w:val="22"/>
          <w:szCs w:val="22"/>
        </w:rPr>
        <w:t>se recomienda adjudicar a:</w:t>
      </w:r>
    </w:p>
    <w:p w:rsidR="009C0252" w:rsidRPr="009C0252" w:rsidRDefault="009C0252" w:rsidP="009C0252">
      <w:pPr>
        <w:ind w:left="426"/>
        <w:contextualSpacing/>
        <w:jc w:val="both"/>
        <w:rPr>
          <w:rFonts w:ascii="Arial" w:hAnsi="Arial" w:cs="Arial"/>
          <w:b/>
          <w:i/>
          <w:kern w:val="28"/>
          <w:sz w:val="22"/>
          <w:szCs w:val="22"/>
        </w:rPr>
      </w:pPr>
    </w:p>
    <w:p w:rsidR="009C0252" w:rsidRPr="009C0252" w:rsidRDefault="009C0252" w:rsidP="009C0252">
      <w:pPr>
        <w:tabs>
          <w:tab w:val="left" w:pos="5529"/>
        </w:tabs>
        <w:ind w:left="426"/>
        <w:contextualSpacing/>
        <w:jc w:val="both"/>
        <w:rPr>
          <w:rFonts w:ascii="Arial" w:hAnsi="Arial" w:cs="Arial"/>
          <w:i/>
          <w:sz w:val="22"/>
          <w:szCs w:val="22"/>
        </w:rPr>
      </w:pPr>
      <w:r w:rsidRPr="009C0252">
        <w:rPr>
          <w:rFonts w:ascii="Arial" w:hAnsi="Arial" w:cs="Arial"/>
          <w:b/>
          <w:i/>
          <w:kern w:val="28"/>
          <w:sz w:val="22"/>
          <w:szCs w:val="22"/>
        </w:rPr>
        <w:t xml:space="preserve">Distribuidora y Envasadora de Química </w:t>
      </w:r>
      <w:proofErr w:type="gramStart"/>
      <w:r w:rsidRPr="009C0252">
        <w:rPr>
          <w:rFonts w:ascii="Arial" w:hAnsi="Arial" w:cs="Arial"/>
          <w:b/>
          <w:i/>
          <w:kern w:val="28"/>
          <w:sz w:val="22"/>
          <w:szCs w:val="22"/>
        </w:rPr>
        <w:t>S.A</w:t>
      </w:r>
      <w:proofErr w:type="gramEnd"/>
      <w:r w:rsidRPr="009C0252">
        <w:rPr>
          <w:rFonts w:ascii="Arial" w:hAnsi="Arial" w:cs="Arial"/>
          <w:b/>
          <w:bCs/>
          <w:i/>
          <w:sz w:val="22"/>
          <w:szCs w:val="22"/>
          <w:lang w:val="es-CR"/>
        </w:rPr>
        <w:tab/>
      </w:r>
      <w:r w:rsidRPr="009C0252">
        <w:rPr>
          <w:rFonts w:ascii="Arial" w:hAnsi="Arial" w:cs="Arial"/>
          <w:b/>
          <w:bCs/>
          <w:i/>
          <w:sz w:val="22"/>
          <w:szCs w:val="22"/>
          <w:lang w:val="es-CR"/>
        </w:rPr>
        <w:tab/>
      </w:r>
      <w:r w:rsidRPr="009C0252">
        <w:rPr>
          <w:rFonts w:ascii="Arial" w:hAnsi="Arial" w:cs="Arial"/>
          <w:b/>
          <w:i/>
          <w:kern w:val="28"/>
          <w:sz w:val="22"/>
          <w:szCs w:val="22"/>
        </w:rPr>
        <w:t>Cédula jurídica</w:t>
      </w:r>
      <w:r w:rsidRPr="009C0252">
        <w:rPr>
          <w:rFonts w:ascii="Arial" w:hAnsi="Arial" w:cs="Arial"/>
          <w:i/>
          <w:sz w:val="22"/>
          <w:szCs w:val="22"/>
        </w:rPr>
        <w:t xml:space="preserve"> 3-101-059070</w:t>
      </w:r>
    </w:p>
    <w:p w:rsidR="009C0252" w:rsidRPr="009C0252" w:rsidRDefault="009C0252" w:rsidP="009C0252">
      <w:pPr>
        <w:ind w:left="426"/>
        <w:contextualSpacing/>
        <w:jc w:val="both"/>
        <w:rPr>
          <w:rFonts w:ascii="Arial" w:hAnsi="Arial" w:cs="Arial"/>
          <w:bCs/>
          <w:i/>
          <w:sz w:val="22"/>
          <w:szCs w:val="22"/>
        </w:rPr>
      </w:pPr>
    </w:p>
    <w:p w:rsidR="009C0252" w:rsidRPr="009C0252" w:rsidRDefault="009C0252" w:rsidP="009C0252">
      <w:pPr>
        <w:ind w:left="426"/>
        <w:contextualSpacing/>
        <w:jc w:val="both"/>
        <w:rPr>
          <w:rFonts w:ascii="Arial" w:hAnsi="Arial" w:cs="Arial"/>
          <w:bCs/>
          <w:i/>
          <w:sz w:val="22"/>
          <w:szCs w:val="22"/>
        </w:rPr>
      </w:pPr>
      <w:r w:rsidRPr="009C0252">
        <w:rPr>
          <w:rFonts w:ascii="Arial" w:hAnsi="Arial" w:cs="Arial"/>
          <w:bCs/>
          <w:i/>
          <w:sz w:val="22"/>
          <w:szCs w:val="22"/>
        </w:rPr>
        <w:t>S</w:t>
      </w:r>
      <w:proofErr w:type="spellStart"/>
      <w:r w:rsidRPr="009C0252">
        <w:rPr>
          <w:rFonts w:ascii="Arial" w:hAnsi="Arial" w:cs="Arial"/>
          <w:bCs/>
          <w:i/>
          <w:sz w:val="22"/>
          <w:szCs w:val="22"/>
          <w:lang w:val="es-ES_tradnl"/>
        </w:rPr>
        <w:t>ervicio</w:t>
      </w:r>
      <w:proofErr w:type="spellEnd"/>
      <w:r w:rsidRPr="009C0252">
        <w:rPr>
          <w:rFonts w:ascii="Arial" w:hAnsi="Arial" w:cs="Arial"/>
          <w:bCs/>
          <w:i/>
          <w:sz w:val="22"/>
          <w:szCs w:val="22"/>
          <w:lang w:val="es-ES_tradnl"/>
        </w:rPr>
        <w:t xml:space="preserve"> de aseo y limpieza en la Sede Central, según la descripción y detalles técnicos de este cartel. Las etiquetas y hojas de seguridad serán verificadas y aprobadas en la fase contractual.</w:t>
      </w:r>
    </w:p>
    <w:p w:rsidR="009C0252" w:rsidRPr="009C0252" w:rsidRDefault="009C0252" w:rsidP="009C0252">
      <w:pPr>
        <w:tabs>
          <w:tab w:val="left" w:pos="2520"/>
        </w:tabs>
        <w:ind w:left="426"/>
        <w:contextualSpacing/>
        <w:jc w:val="both"/>
        <w:rPr>
          <w:rFonts w:ascii="Arial" w:hAnsi="Arial" w:cs="Arial"/>
          <w:b/>
          <w:i/>
          <w:sz w:val="22"/>
          <w:szCs w:val="22"/>
        </w:rPr>
      </w:pPr>
    </w:p>
    <w:p w:rsidR="009C0252" w:rsidRPr="009C0252" w:rsidRDefault="009C0252" w:rsidP="009C0252">
      <w:pPr>
        <w:tabs>
          <w:tab w:val="left" w:pos="2520"/>
        </w:tabs>
        <w:ind w:left="426"/>
        <w:contextualSpacing/>
        <w:jc w:val="both"/>
        <w:rPr>
          <w:rFonts w:ascii="Arial" w:hAnsi="Arial" w:cs="Arial"/>
          <w:b/>
          <w:i/>
          <w:sz w:val="22"/>
          <w:szCs w:val="22"/>
        </w:rPr>
      </w:pPr>
      <w:proofErr w:type="gramStart"/>
      <w:r w:rsidRPr="009C0252">
        <w:rPr>
          <w:rFonts w:ascii="Arial" w:hAnsi="Arial" w:cs="Arial"/>
          <w:b/>
          <w:i/>
          <w:sz w:val="22"/>
          <w:szCs w:val="22"/>
        </w:rPr>
        <w:t>Total</w:t>
      </w:r>
      <w:proofErr w:type="gramEnd"/>
      <w:r w:rsidRPr="009C0252">
        <w:rPr>
          <w:rFonts w:ascii="Arial" w:hAnsi="Arial" w:cs="Arial"/>
          <w:b/>
          <w:i/>
          <w:sz w:val="22"/>
          <w:szCs w:val="22"/>
        </w:rPr>
        <w:t xml:space="preserve"> mensual adjudicado:</w:t>
      </w:r>
      <w:r w:rsidRPr="009C0252">
        <w:rPr>
          <w:rFonts w:ascii="Arial" w:hAnsi="Arial" w:cs="Arial"/>
          <w:b/>
          <w:i/>
          <w:sz w:val="22"/>
          <w:szCs w:val="22"/>
        </w:rPr>
        <w:tab/>
      </w:r>
      <w:r w:rsidRPr="009C0252">
        <w:rPr>
          <w:rFonts w:ascii="Arial" w:hAnsi="Arial" w:cs="Arial"/>
          <w:b/>
          <w:i/>
          <w:sz w:val="22"/>
          <w:szCs w:val="22"/>
        </w:rPr>
        <w:tab/>
      </w:r>
      <w:r w:rsidRPr="009C0252">
        <w:rPr>
          <w:rFonts w:ascii="Arial" w:hAnsi="Arial" w:cs="Arial"/>
          <w:bCs/>
          <w:i/>
          <w:sz w:val="22"/>
          <w:szCs w:val="22"/>
        </w:rPr>
        <w:t>¢23.593.106,64</w:t>
      </w:r>
    </w:p>
    <w:p w:rsidR="009C0252" w:rsidRPr="009C0252" w:rsidRDefault="009C0252" w:rsidP="009C0252">
      <w:pPr>
        <w:tabs>
          <w:tab w:val="left" w:pos="0"/>
          <w:tab w:val="left" w:pos="2160"/>
          <w:tab w:val="left" w:pos="2520"/>
        </w:tabs>
        <w:ind w:left="426"/>
        <w:contextualSpacing/>
        <w:rPr>
          <w:rFonts w:ascii="Arial" w:hAnsi="Arial" w:cs="Arial"/>
          <w:bCs/>
          <w:i/>
          <w:sz w:val="22"/>
          <w:szCs w:val="22"/>
        </w:rPr>
      </w:pPr>
      <w:r w:rsidRPr="009C0252">
        <w:rPr>
          <w:rFonts w:ascii="Arial" w:hAnsi="Arial" w:cs="Arial"/>
          <w:b/>
          <w:i/>
          <w:sz w:val="22"/>
          <w:szCs w:val="22"/>
        </w:rPr>
        <w:t>Tiempo de Inicio:</w:t>
      </w:r>
      <w:r w:rsidRPr="009C0252">
        <w:rPr>
          <w:rFonts w:ascii="Arial" w:hAnsi="Arial" w:cs="Arial"/>
          <w:b/>
          <w:i/>
          <w:sz w:val="22"/>
          <w:szCs w:val="22"/>
        </w:rPr>
        <w:tab/>
      </w:r>
      <w:r w:rsidRPr="009C0252">
        <w:rPr>
          <w:rFonts w:ascii="Arial" w:hAnsi="Arial" w:cs="Arial"/>
          <w:b/>
          <w:i/>
          <w:sz w:val="22"/>
          <w:szCs w:val="22"/>
        </w:rPr>
        <w:tab/>
      </w:r>
      <w:r w:rsidRPr="009C0252">
        <w:rPr>
          <w:rFonts w:ascii="Arial" w:hAnsi="Arial" w:cs="Arial"/>
          <w:b/>
          <w:i/>
          <w:sz w:val="22"/>
          <w:szCs w:val="22"/>
        </w:rPr>
        <w:tab/>
      </w:r>
      <w:r w:rsidRPr="009C0252">
        <w:rPr>
          <w:rFonts w:ascii="Arial" w:hAnsi="Arial" w:cs="Arial"/>
          <w:b/>
          <w:i/>
          <w:sz w:val="22"/>
          <w:szCs w:val="22"/>
        </w:rPr>
        <w:tab/>
      </w:r>
      <w:r w:rsidRPr="009C0252">
        <w:rPr>
          <w:rFonts w:ascii="Arial" w:hAnsi="Arial" w:cs="Arial"/>
          <w:bCs/>
          <w:i/>
          <w:sz w:val="22"/>
          <w:szCs w:val="22"/>
        </w:rPr>
        <w:t>2 días hábiles</w:t>
      </w:r>
    </w:p>
    <w:p w:rsidR="009C0252" w:rsidRPr="009C0252" w:rsidRDefault="009C0252" w:rsidP="009C0252">
      <w:pPr>
        <w:ind w:left="426"/>
        <w:contextualSpacing/>
        <w:jc w:val="both"/>
        <w:rPr>
          <w:rFonts w:ascii="Arial" w:hAnsi="Arial" w:cs="Arial"/>
          <w:bCs/>
          <w:i/>
          <w:sz w:val="22"/>
          <w:szCs w:val="22"/>
        </w:rPr>
      </w:pPr>
    </w:p>
    <w:p w:rsidR="009C0252" w:rsidRPr="009C0252" w:rsidRDefault="009C0252" w:rsidP="009C0252">
      <w:pPr>
        <w:keepNext/>
        <w:numPr>
          <w:ilvl w:val="0"/>
          <w:numId w:val="19"/>
        </w:numPr>
        <w:spacing w:before="120" w:after="120"/>
        <w:ind w:left="709" w:hanging="357"/>
        <w:jc w:val="both"/>
        <w:outlineLvl w:val="0"/>
        <w:rPr>
          <w:rFonts w:ascii="Arial" w:hAnsi="Arial" w:cs="Arial"/>
          <w:b/>
          <w:bCs/>
          <w:i/>
          <w:kern w:val="32"/>
          <w:sz w:val="22"/>
          <w:szCs w:val="22"/>
        </w:rPr>
      </w:pPr>
      <w:r w:rsidRPr="009C0252">
        <w:rPr>
          <w:rFonts w:ascii="Arial" w:hAnsi="Arial" w:cs="Arial"/>
          <w:b/>
          <w:bCs/>
          <w:i/>
          <w:kern w:val="32"/>
          <w:sz w:val="22"/>
          <w:szCs w:val="22"/>
        </w:rPr>
        <w:t xml:space="preserve">Razones de la recomendación </w:t>
      </w:r>
    </w:p>
    <w:p w:rsidR="009C0252" w:rsidRPr="009C0252" w:rsidRDefault="009C0252" w:rsidP="009C0252">
      <w:pPr>
        <w:numPr>
          <w:ilvl w:val="1"/>
          <w:numId w:val="22"/>
        </w:numPr>
        <w:tabs>
          <w:tab w:val="num" w:pos="-180"/>
        </w:tabs>
        <w:ind w:left="709" w:hanging="357"/>
        <w:jc w:val="both"/>
        <w:rPr>
          <w:rFonts w:ascii="Arial" w:hAnsi="Arial" w:cs="Arial"/>
          <w:i/>
          <w:sz w:val="22"/>
          <w:szCs w:val="22"/>
        </w:rPr>
      </w:pPr>
      <w:r w:rsidRPr="009C0252">
        <w:rPr>
          <w:rFonts w:ascii="Arial" w:hAnsi="Arial" w:cs="Arial"/>
          <w:i/>
          <w:sz w:val="22"/>
          <w:szCs w:val="22"/>
        </w:rPr>
        <w:t>Se cuenta con disponibilidad presupuestaria.</w:t>
      </w:r>
    </w:p>
    <w:p w:rsidR="009C0252" w:rsidRPr="009C0252" w:rsidRDefault="009C0252" w:rsidP="009C0252">
      <w:pPr>
        <w:numPr>
          <w:ilvl w:val="1"/>
          <w:numId w:val="22"/>
        </w:numPr>
        <w:tabs>
          <w:tab w:val="num" w:pos="-180"/>
        </w:tabs>
        <w:ind w:left="709" w:hanging="357"/>
        <w:jc w:val="both"/>
        <w:rPr>
          <w:rFonts w:ascii="Arial" w:hAnsi="Arial" w:cs="Arial"/>
          <w:i/>
          <w:sz w:val="22"/>
          <w:szCs w:val="22"/>
        </w:rPr>
      </w:pPr>
      <w:r w:rsidRPr="009C0252">
        <w:rPr>
          <w:rFonts w:ascii="Arial" w:hAnsi="Arial" w:cs="Arial"/>
          <w:i/>
          <w:sz w:val="22"/>
          <w:szCs w:val="22"/>
        </w:rPr>
        <w:t>Se toma en consideración la recomendación técnica.</w:t>
      </w:r>
    </w:p>
    <w:p w:rsidR="009C0252" w:rsidRPr="009C0252" w:rsidRDefault="009C0252" w:rsidP="009C0252">
      <w:pPr>
        <w:numPr>
          <w:ilvl w:val="1"/>
          <w:numId w:val="22"/>
        </w:numPr>
        <w:tabs>
          <w:tab w:val="num" w:pos="-180"/>
        </w:tabs>
        <w:ind w:left="709" w:hanging="357"/>
        <w:jc w:val="both"/>
        <w:rPr>
          <w:rFonts w:ascii="Arial" w:hAnsi="Arial" w:cs="Arial"/>
          <w:i/>
          <w:sz w:val="22"/>
          <w:szCs w:val="22"/>
        </w:rPr>
      </w:pPr>
      <w:r w:rsidRPr="009C0252">
        <w:rPr>
          <w:rFonts w:ascii="Arial" w:hAnsi="Arial" w:cs="Arial"/>
          <w:i/>
          <w:sz w:val="22"/>
          <w:szCs w:val="22"/>
        </w:rPr>
        <w:t>Se ajusta a los intereses Institucionales.</w:t>
      </w:r>
    </w:p>
    <w:p w:rsidR="009C0252" w:rsidRPr="009C0252" w:rsidRDefault="009C0252" w:rsidP="009C0252">
      <w:pPr>
        <w:numPr>
          <w:ilvl w:val="1"/>
          <w:numId w:val="22"/>
        </w:numPr>
        <w:tabs>
          <w:tab w:val="num" w:pos="-180"/>
        </w:tabs>
        <w:ind w:left="709" w:hanging="357"/>
        <w:jc w:val="both"/>
        <w:rPr>
          <w:rFonts w:ascii="Arial" w:hAnsi="Arial" w:cs="Arial"/>
          <w:i/>
          <w:sz w:val="22"/>
          <w:szCs w:val="22"/>
        </w:rPr>
      </w:pPr>
      <w:r w:rsidRPr="009C0252">
        <w:rPr>
          <w:rFonts w:ascii="Arial" w:hAnsi="Arial" w:cs="Arial"/>
          <w:i/>
          <w:sz w:val="22"/>
          <w:szCs w:val="22"/>
        </w:rPr>
        <w:t xml:space="preserve">La oferta cumple con lo solicitado. </w:t>
      </w:r>
    </w:p>
    <w:p w:rsidR="009C0252" w:rsidRPr="009C0252" w:rsidRDefault="009C0252" w:rsidP="009C0252">
      <w:pPr>
        <w:ind w:left="426"/>
        <w:jc w:val="both"/>
        <w:rPr>
          <w:rFonts w:ascii="Arial" w:hAnsi="Arial" w:cs="Arial"/>
          <w:bCs/>
          <w:i/>
          <w:sz w:val="22"/>
          <w:szCs w:val="22"/>
        </w:rPr>
      </w:pPr>
    </w:p>
    <w:p w:rsidR="009C0252" w:rsidRPr="009C0252" w:rsidRDefault="009C0252" w:rsidP="009C0252">
      <w:pPr>
        <w:numPr>
          <w:ilvl w:val="0"/>
          <w:numId w:val="21"/>
        </w:numPr>
        <w:tabs>
          <w:tab w:val="center" w:pos="4986"/>
        </w:tabs>
        <w:ind w:left="567" w:hanging="567"/>
        <w:contextualSpacing/>
        <w:jc w:val="both"/>
        <w:outlineLvl w:val="0"/>
        <w:rPr>
          <w:rFonts w:ascii="Arial" w:hAnsi="Arial" w:cs="Arial"/>
          <w:bCs/>
        </w:rPr>
      </w:pPr>
      <w:r w:rsidRPr="009C0252">
        <w:rPr>
          <w:rFonts w:ascii="Arial" w:hAnsi="Arial" w:cs="Arial"/>
          <w:iCs/>
        </w:rPr>
        <w:t xml:space="preserve">La Comisión de Planificación, en reunión No. 808-2019, realizada el jueves 28 de febrero de 2019, revisa el informe </w:t>
      </w:r>
      <w:proofErr w:type="spellStart"/>
      <w:r w:rsidRPr="009C0252">
        <w:rPr>
          <w:rFonts w:ascii="Arial" w:hAnsi="Arial" w:cs="Arial"/>
          <w:iCs/>
        </w:rPr>
        <w:t>supracitado</w:t>
      </w:r>
      <w:proofErr w:type="spellEnd"/>
      <w:r w:rsidRPr="009C0252">
        <w:rPr>
          <w:rFonts w:ascii="Arial" w:hAnsi="Arial" w:cs="Arial"/>
          <w:iCs/>
        </w:rPr>
        <w:t xml:space="preserve">; </w:t>
      </w:r>
      <w:r w:rsidRPr="009C0252">
        <w:rPr>
          <w:rFonts w:ascii="Arial" w:hAnsi="Arial" w:cs="Arial"/>
          <w:bCs/>
        </w:rPr>
        <w:t xml:space="preserve">se recibe a los representantes de la Administración, </w:t>
      </w:r>
      <w:r w:rsidRPr="009C0252">
        <w:rPr>
          <w:rFonts w:ascii="Arial" w:hAnsi="Arial" w:cs="Arial"/>
          <w:iCs/>
        </w:rPr>
        <w:t xml:space="preserve">Dr. Humberto Villalta Solano, Vicerrector de Administración, MAE. Kattia Calderón Mora, Directora del Departamento de Aprovisionamiento, el Lic. Henry Morales Alvarado, Encargado de Licitaciones, MAE. Guissella Campos Jiménez, Analista de Licitaciones, Lic. Danilo May Cantillano, Asesor Legal, del Departamento de Aprovisionamiento, para la exposición del Informe.  Se cuenta además con la presencia del Lic. Isidro Álvarez Salazar, Auditor Interno, la Lorena Somarribas Meza, Auditora y el Lic. Manuel Bonilla Cordero, Auditor.  </w:t>
      </w:r>
    </w:p>
    <w:p w:rsidR="009C0252" w:rsidRPr="009C0252" w:rsidRDefault="009C0252" w:rsidP="009C0252">
      <w:pPr>
        <w:tabs>
          <w:tab w:val="center" w:pos="4986"/>
        </w:tabs>
        <w:contextualSpacing/>
        <w:jc w:val="both"/>
        <w:outlineLvl w:val="0"/>
        <w:rPr>
          <w:rFonts w:ascii="Arial" w:hAnsi="Arial" w:cs="Arial"/>
          <w:bCs/>
        </w:rPr>
      </w:pPr>
    </w:p>
    <w:p w:rsidR="009C0252" w:rsidRPr="009C0252" w:rsidRDefault="009C0252" w:rsidP="009C0252">
      <w:pPr>
        <w:numPr>
          <w:ilvl w:val="0"/>
          <w:numId w:val="21"/>
        </w:numPr>
        <w:tabs>
          <w:tab w:val="center" w:pos="4986"/>
        </w:tabs>
        <w:ind w:left="567" w:hanging="567"/>
        <w:contextualSpacing/>
        <w:jc w:val="both"/>
        <w:outlineLvl w:val="0"/>
        <w:rPr>
          <w:rFonts w:ascii="Arial" w:hAnsi="Arial" w:cs="Arial"/>
          <w:bCs/>
        </w:rPr>
      </w:pPr>
      <w:r w:rsidRPr="009C0252">
        <w:rPr>
          <w:rFonts w:ascii="Arial" w:hAnsi="Arial" w:cs="Arial"/>
          <w:iCs/>
        </w:rPr>
        <w:t xml:space="preserve">Los Representantes de la Administración exponen ampliamente el Informe, los integrantes de la Comisión de Planificación y Administración exponen las dudas que son aclaradas por el Equipo Técnico.  </w:t>
      </w:r>
    </w:p>
    <w:p w:rsidR="009C0252" w:rsidRPr="009C0252" w:rsidRDefault="009C0252" w:rsidP="009C0252">
      <w:pPr>
        <w:tabs>
          <w:tab w:val="center" w:pos="4986"/>
        </w:tabs>
        <w:contextualSpacing/>
        <w:jc w:val="both"/>
        <w:outlineLvl w:val="0"/>
        <w:rPr>
          <w:rFonts w:ascii="Arial" w:hAnsi="Arial" w:cs="Arial"/>
          <w:bCs/>
        </w:rPr>
      </w:pPr>
    </w:p>
    <w:p w:rsidR="009C0252" w:rsidRPr="009C0252" w:rsidRDefault="009C0252" w:rsidP="009C0252">
      <w:pPr>
        <w:ind w:left="567"/>
        <w:jc w:val="both"/>
        <w:rPr>
          <w:rFonts w:ascii="Arial" w:hAnsi="Arial" w:cs="Arial"/>
        </w:rPr>
      </w:pPr>
      <w:r w:rsidRPr="009C0252">
        <w:rPr>
          <w:rFonts w:ascii="Arial" w:hAnsi="Arial" w:cs="Arial"/>
        </w:rPr>
        <w:t>La Auditoría Interna, en su asesoría al Consejo Institucional, realiza la siguiente observación:</w:t>
      </w:r>
    </w:p>
    <w:p w:rsidR="009C0252" w:rsidRPr="009C0252" w:rsidRDefault="009C0252" w:rsidP="009C0252">
      <w:pPr>
        <w:jc w:val="both"/>
        <w:rPr>
          <w:rFonts w:ascii="Arial" w:hAnsi="Arial" w:cs="Arial"/>
        </w:rPr>
      </w:pPr>
    </w:p>
    <w:p w:rsidR="009C0252" w:rsidRPr="009C0252" w:rsidRDefault="009C0252" w:rsidP="009C0252">
      <w:pPr>
        <w:ind w:left="720"/>
        <w:jc w:val="both"/>
        <w:rPr>
          <w:rFonts w:ascii="Arial" w:hAnsi="Arial" w:cs="Arial"/>
          <w:i/>
        </w:rPr>
      </w:pPr>
      <w:r w:rsidRPr="009C0252">
        <w:rPr>
          <w:rFonts w:ascii="Arial" w:hAnsi="Arial" w:cs="Arial"/>
          <w:i/>
        </w:rPr>
        <w:lastRenderedPageBreak/>
        <w:t xml:space="preserve">“1. Sobre la exclusión de la oferta del Consorcio Grupo </w:t>
      </w:r>
      <w:proofErr w:type="spellStart"/>
      <w:r w:rsidRPr="009C0252">
        <w:rPr>
          <w:rFonts w:ascii="Arial" w:hAnsi="Arial" w:cs="Arial"/>
          <w:i/>
        </w:rPr>
        <w:t>Florex</w:t>
      </w:r>
      <w:proofErr w:type="spellEnd"/>
      <w:r w:rsidRPr="009C0252">
        <w:rPr>
          <w:rFonts w:ascii="Arial" w:hAnsi="Arial" w:cs="Arial"/>
          <w:i/>
        </w:rPr>
        <w:t>.</w:t>
      </w:r>
    </w:p>
    <w:p w:rsidR="009C0252" w:rsidRPr="009C0252" w:rsidRDefault="009C0252" w:rsidP="009C0252">
      <w:pPr>
        <w:ind w:left="720"/>
        <w:jc w:val="both"/>
        <w:rPr>
          <w:rFonts w:ascii="Arial" w:hAnsi="Arial" w:cs="Arial"/>
          <w:i/>
        </w:rPr>
      </w:pPr>
      <w:r w:rsidRPr="009C0252">
        <w:rPr>
          <w:rFonts w:ascii="Arial" w:hAnsi="Arial" w:cs="Arial"/>
          <w:i/>
        </w:rPr>
        <w:t>“… Se observa, sobre este particular, que no se incorpora en el expediente un documento en el que conste el análisis de la respuesta brindada por el oferente y las conclusiones a las que llegan las instancias que debían realizarlo.”</w:t>
      </w:r>
    </w:p>
    <w:p w:rsidR="009C0252" w:rsidRPr="009C0252" w:rsidRDefault="009C0252" w:rsidP="009C0252">
      <w:pPr>
        <w:jc w:val="both"/>
        <w:rPr>
          <w:rFonts w:ascii="Arial" w:hAnsi="Arial" w:cs="Arial"/>
        </w:rPr>
      </w:pPr>
    </w:p>
    <w:p w:rsidR="009C0252" w:rsidRPr="009C0252" w:rsidRDefault="009C0252" w:rsidP="009C0252">
      <w:pPr>
        <w:numPr>
          <w:ilvl w:val="0"/>
          <w:numId w:val="21"/>
        </w:numPr>
        <w:tabs>
          <w:tab w:val="center" w:pos="4986"/>
        </w:tabs>
        <w:ind w:left="567" w:hanging="567"/>
        <w:contextualSpacing/>
        <w:jc w:val="both"/>
        <w:outlineLvl w:val="0"/>
        <w:rPr>
          <w:rFonts w:ascii="Arial" w:hAnsi="Arial" w:cs="Arial"/>
        </w:rPr>
      </w:pPr>
      <w:r w:rsidRPr="009C0252">
        <w:rPr>
          <w:rFonts w:ascii="Arial" w:hAnsi="Arial" w:cs="Arial"/>
        </w:rPr>
        <w:t>La Comisión de Planificación y Administración considera importante solicitar al Departamento de Aprovisionamiento un informe sobre el análisis que señala la Auditoria. De igual forma se indiquen las razones por las cuales el Departamento de Aprovisionamiento consideró innecesario incluirlo en el documento de la Licitación. Por lo que mediante oficio SCI-235-2019, la Comisión de Planificación y Administración solicita al Departamento de Aprovisionamiento remitir por escrito el detalle de esa información y una vez se cuente con la misma, elevar la propuesta al Consejo Institucional.</w:t>
      </w:r>
    </w:p>
    <w:p w:rsidR="009C0252" w:rsidRPr="009C0252" w:rsidRDefault="009C0252" w:rsidP="009C0252">
      <w:pPr>
        <w:tabs>
          <w:tab w:val="center" w:pos="4986"/>
        </w:tabs>
        <w:contextualSpacing/>
        <w:jc w:val="both"/>
        <w:outlineLvl w:val="0"/>
        <w:rPr>
          <w:rFonts w:ascii="Arial" w:hAnsi="Arial" w:cs="Arial"/>
        </w:rPr>
      </w:pPr>
    </w:p>
    <w:p w:rsidR="009C0252" w:rsidRPr="009C0252" w:rsidRDefault="009C0252" w:rsidP="009C0252">
      <w:pPr>
        <w:numPr>
          <w:ilvl w:val="0"/>
          <w:numId w:val="21"/>
        </w:numPr>
        <w:tabs>
          <w:tab w:val="center" w:pos="4986"/>
        </w:tabs>
        <w:ind w:left="567" w:hanging="567"/>
        <w:contextualSpacing/>
        <w:jc w:val="both"/>
        <w:outlineLvl w:val="0"/>
        <w:rPr>
          <w:rFonts w:ascii="Arial" w:hAnsi="Arial" w:cs="Arial"/>
        </w:rPr>
      </w:pPr>
      <w:r w:rsidRPr="009C0252">
        <w:rPr>
          <w:rFonts w:ascii="Arial" w:hAnsi="Arial" w:cs="Arial"/>
        </w:rPr>
        <w:t xml:space="preserve">La Comisión de Planificación y Administración recibió oficio AP-258-2019, con fecha de recibido 05 de marzo de 2018, suscrito por la MAE. Kattia Calderón Mora, Directora del Departamento de Aprovisionamiento, dirigido a la </w:t>
      </w:r>
      <w:proofErr w:type="spellStart"/>
      <w:r w:rsidRPr="009C0252">
        <w:rPr>
          <w:rFonts w:ascii="Arial" w:hAnsi="Arial" w:cs="Arial"/>
        </w:rPr>
        <w:t>MSc</w:t>
      </w:r>
      <w:proofErr w:type="spellEnd"/>
      <w:r w:rsidRPr="009C0252">
        <w:rPr>
          <w:rFonts w:ascii="Arial" w:hAnsi="Arial" w:cs="Arial"/>
        </w:rPr>
        <w:t>. Ana Rosa Ruiz Fernández, Coordinadora de la Comisión de Planificación y Administración, amplía la información solicitada por la Comisión de Planificación y Administración mediante el oficio SCI-235-2019, según se transcribe a continuación:</w:t>
      </w:r>
    </w:p>
    <w:p w:rsidR="009C0252" w:rsidRPr="009C0252" w:rsidRDefault="009C0252" w:rsidP="009C0252">
      <w:pPr>
        <w:ind w:left="708"/>
        <w:rPr>
          <w:rFonts w:ascii="Arial" w:hAnsi="Arial" w:cs="Arial"/>
        </w:rPr>
      </w:pPr>
    </w:p>
    <w:p w:rsidR="009C0252" w:rsidRPr="009C0252" w:rsidRDefault="009C0252" w:rsidP="009C0252">
      <w:pPr>
        <w:ind w:left="1134" w:right="423" w:hanging="501"/>
        <w:contextualSpacing/>
        <w:jc w:val="both"/>
        <w:rPr>
          <w:rFonts w:ascii="Arial" w:eastAsia="DejaVu Sans" w:hAnsi="Arial" w:cs="Arial"/>
          <w:i/>
          <w:kern w:val="2"/>
          <w:sz w:val="22"/>
          <w:szCs w:val="22"/>
          <w:lang w:val="es-CR" w:eastAsia="hi-IN" w:bidi="hi-IN"/>
        </w:rPr>
      </w:pPr>
      <w:r w:rsidRPr="009C0252">
        <w:rPr>
          <w:rFonts w:ascii="Arial" w:hAnsi="Arial" w:cs="Arial"/>
          <w:i/>
          <w:sz w:val="22"/>
          <w:szCs w:val="22"/>
        </w:rPr>
        <w:t>“1.  Según consta en el oficio AP-233-2019, el pliego de condiciones, firme al momento de la apertura de ofertas estableció en la cláusula referente a la participación en consorcio, inciso 6; e</w:t>
      </w:r>
      <w:r w:rsidRPr="009C0252">
        <w:rPr>
          <w:rFonts w:ascii="Arial" w:eastAsia="MS Mincho" w:hAnsi="Arial" w:cs="Arial"/>
          <w:i/>
          <w:sz w:val="22"/>
          <w:szCs w:val="22"/>
        </w:rPr>
        <w:t>n concordancia con los artículos 38 de la Ley de la Contratación Administrativa, así como los artículos del 72 al 77, ambos inclusive, del Reglamento a la Ley de la Contratación Administrativa, que l</w:t>
      </w:r>
      <w:r w:rsidRPr="009C0252">
        <w:rPr>
          <w:rFonts w:ascii="Arial" w:eastAsia="DejaVu Sans" w:hAnsi="Arial" w:cs="Arial"/>
          <w:i/>
          <w:kern w:val="2"/>
          <w:sz w:val="22"/>
          <w:szCs w:val="22"/>
          <w:lang w:val="es-CR" w:eastAsia="hi-IN" w:bidi="hi-IN"/>
        </w:rPr>
        <w:t>as empresas participantes del consorcio deben haber realizado al menos tres (3) servicios de la misma naturaleza de este cartel.</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1134" w:right="423"/>
        <w:contextualSpacing/>
        <w:jc w:val="both"/>
        <w:rPr>
          <w:rFonts w:ascii="Arial" w:hAnsi="Arial" w:cs="Arial"/>
          <w:i/>
          <w:sz w:val="22"/>
          <w:szCs w:val="22"/>
        </w:rPr>
      </w:pPr>
      <w:r w:rsidRPr="009C0252">
        <w:rPr>
          <w:rFonts w:ascii="Arial" w:eastAsia="DejaVu Sans" w:hAnsi="Arial" w:cs="Arial"/>
          <w:i/>
          <w:kern w:val="2"/>
          <w:sz w:val="22"/>
          <w:szCs w:val="22"/>
          <w:lang w:val="es-CR" w:eastAsia="hi-IN" w:bidi="hi-IN"/>
        </w:rPr>
        <w:t>En el análisis realizado por la Asesoría Legal, según consta en el oficio AL-674-2018, se determinó que el Consorcio incumple con este requerimiento, pues sólo una de las empresas tiene experiencia en el servicio de la misma naturaleza, específicamente servicio de aseo y limpieza.</w:t>
      </w:r>
    </w:p>
    <w:p w:rsidR="009C0252" w:rsidRPr="009C0252" w:rsidRDefault="009C0252" w:rsidP="009C0252">
      <w:pPr>
        <w:ind w:left="993" w:right="423"/>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1134" w:right="423"/>
        <w:contextualSpacing/>
        <w:jc w:val="both"/>
        <w:rPr>
          <w:rFonts w:ascii="Arial" w:hAnsi="Arial" w:cs="Arial"/>
          <w:i/>
          <w:sz w:val="22"/>
          <w:szCs w:val="22"/>
        </w:rPr>
      </w:pPr>
      <w:r w:rsidRPr="009C0252">
        <w:rPr>
          <w:rFonts w:ascii="Arial" w:eastAsia="DejaVu Sans" w:hAnsi="Arial" w:cs="Arial"/>
          <w:i/>
          <w:kern w:val="2"/>
          <w:sz w:val="22"/>
          <w:szCs w:val="22"/>
          <w:lang w:val="es-CR" w:eastAsia="hi-IN" w:bidi="hi-IN"/>
        </w:rPr>
        <w:t xml:space="preserve">Mediante el oficio AP-031-2019, se solicitó al Consorcio Grupo </w:t>
      </w:r>
      <w:proofErr w:type="spellStart"/>
      <w:r w:rsidRPr="009C0252">
        <w:rPr>
          <w:rFonts w:ascii="Arial" w:eastAsia="DejaVu Sans" w:hAnsi="Arial" w:cs="Arial"/>
          <w:i/>
          <w:kern w:val="2"/>
          <w:sz w:val="22"/>
          <w:szCs w:val="22"/>
          <w:lang w:val="es-CR" w:eastAsia="hi-IN" w:bidi="hi-IN"/>
        </w:rPr>
        <w:t>Florex</w:t>
      </w:r>
      <w:proofErr w:type="spellEnd"/>
      <w:r w:rsidRPr="009C0252">
        <w:rPr>
          <w:rFonts w:ascii="Arial" w:eastAsia="DejaVu Sans" w:hAnsi="Arial" w:cs="Arial"/>
          <w:i/>
          <w:kern w:val="2"/>
          <w:sz w:val="22"/>
          <w:szCs w:val="22"/>
          <w:lang w:val="es-CR" w:eastAsia="hi-IN" w:bidi="hi-IN"/>
        </w:rPr>
        <w:t xml:space="preserve"> subsanar la experiencia establecida en el pliego de condiciones, sin embargo, la respuesta del Consorcio es clara al indicar que </w:t>
      </w:r>
      <w:proofErr w:type="spellStart"/>
      <w:r w:rsidRPr="009C0252">
        <w:rPr>
          <w:rFonts w:ascii="Arial" w:eastAsia="DejaVu Sans" w:hAnsi="Arial" w:cs="Arial"/>
          <w:i/>
          <w:kern w:val="2"/>
          <w:sz w:val="22"/>
          <w:szCs w:val="22"/>
          <w:lang w:val="es-CR" w:eastAsia="hi-IN" w:bidi="hi-IN"/>
        </w:rPr>
        <w:t>Florex</w:t>
      </w:r>
      <w:proofErr w:type="spellEnd"/>
      <w:r w:rsidRPr="009C0252">
        <w:rPr>
          <w:rFonts w:ascii="Arial" w:eastAsia="DejaVu Sans" w:hAnsi="Arial" w:cs="Arial"/>
          <w:i/>
          <w:kern w:val="2"/>
          <w:sz w:val="22"/>
          <w:szCs w:val="22"/>
          <w:lang w:val="es-CR" w:eastAsia="hi-IN" w:bidi="hi-IN"/>
        </w:rPr>
        <w:t xml:space="preserve"> no realiza servicios como los solicitados en el pliego de condiciones. </w:t>
      </w:r>
    </w:p>
    <w:p w:rsidR="009C0252" w:rsidRPr="009C0252" w:rsidRDefault="009C0252" w:rsidP="009C0252">
      <w:pPr>
        <w:ind w:left="993" w:right="423"/>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1134" w:right="423"/>
        <w:contextualSpacing/>
        <w:jc w:val="both"/>
        <w:rPr>
          <w:rFonts w:ascii="Arial" w:hAnsi="Arial" w:cs="Arial"/>
          <w:i/>
          <w:sz w:val="22"/>
          <w:szCs w:val="22"/>
        </w:rPr>
      </w:pPr>
      <w:r w:rsidRPr="009C0252">
        <w:rPr>
          <w:rFonts w:ascii="Arial" w:eastAsia="DejaVu Sans" w:hAnsi="Arial" w:cs="Arial"/>
          <w:i/>
          <w:kern w:val="2"/>
          <w:sz w:val="22"/>
          <w:szCs w:val="22"/>
          <w:lang w:val="es-CR" w:eastAsia="hi-IN" w:bidi="hi-IN"/>
        </w:rPr>
        <w:t xml:space="preserve">La jurisprudencia señalada en el oficio AP-233-2019 en la que se indica que la Contraloría General de la República en la resolución No. RC-508-2002 de las once horas del seis de agosto del dos mil dos, se indicó: </w:t>
      </w:r>
    </w:p>
    <w:p w:rsidR="009C0252" w:rsidRPr="009C0252" w:rsidRDefault="009C0252" w:rsidP="009C0252">
      <w:pPr>
        <w:spacing w:before="120"/>
        <w:ind w:left="1134" w:right="425"/>
        <w:jc w:val="both"/>
        <w:rPr>
          <w:rFonts w:ascii="Arial" w:hAnsi="Arial" w:cs="Arial"/>
          <w:i/>
          <w:sz w:val="22"/>
          <w:szCs w:val="22"/>
        </w:rPr>
      </w:pPr>
      <w:r w:rsidRPr="009C0252">
        <w:rPr>
          <w:rFonts w:ascii="Arial" w:hAnsi="Arial" w:cs="Arial"/>
          <w:i/>
          <w:sz w:val="22"/>
          <w:szCs w:val="22"/>
        </w:rPr>
        <w:t xml:space="preserve">“Nuevamente, es necesario señalar que la experiencia que se valora en cada concurso particular debe ser afín a los alcances del objeto contractual de que se trate. De esa manera, se garantiza que las labores que han desempeñado los oferentes que pretendan ser seleccionados como “la oferta más conveniente” –o en este caso dentro del listado de ingenieros elegibles- son de la misma naturaleza y, </w:t>
      </w:r>
      <w:proofErr w:type="gramStart"/>
      <w:r w:rsidRPr="009C0252">
        <w:rPr>
          <w:rFonts w:ascii="Arial" w:hAnsi="Arial" w:cs="Arial"/>
          <w:i/>
          <w:sz w:val="22"/>
          <w:szCs w:val="22"/>
        </w:rPr>
        <w:t>que</w:t>
      </w:r>
      <w:proofErr w:type="gramEnd"/>
      <w:r w:rsidRPr="009C0252">
        <w:rPr>
          <w:rFonts w:ascii="Arial" w:hAnsi="Arial" w:cs="Arial"/>
          <w:i/>
          <w:sz w:val="22"/>
          <w:szCs w:val="22"/>
        </w:rPr>
        <w:t xml:space="preserve"> por lo tanto, ya existe un conocimiento del “saber cómo” ejecutar un proyecto de alcances, lo más similares posibles. Es así, como consideramos que la experiencia válida dentro de un proceso de selección es aquella que se asemeja a la prestación derivada de la eventual </w:t>
      </w:r>
      <w:r w:rsidRPr="009C0252">
        <w:rPr>
          <w:rFonts w:ascii="Arial" w:hAnsi="Arial" w:cs="Arial"/>
          <w:i/>
          <w:sz w:val="22"/>
          <w:szCs w:val="22"/>
        </w:rPr>
        <w:lastRenderedPageBreak/>
        <w:t>adjudicación y no la que, a pesar de tener algún “parecido genérico”, no conlleva los mismos conocimientos y habilidades, fundamentales para ejecutar adecuadamente el nuevo contrato. En ese sentido y a manera de ejemplo, cabe destacar que este Órgano Contralor ha señalado que si se trata de un procedimiento licitatorio para la construcción de una determinada obra la experiencia válida no es la genérica de “construcción”, sino que debe ser, además, en obras similares a las del proyecto específico, ya que si se trata de construcción de carreteras, no sería válida como regla de principio, la experiencia en construcción de viviendas por ejemplo, ya que el proceso constructivo, en uno y otro caso, requiere conocimientos y habilidades técnicas diferentes.” Posición reiterada en la resolución R-DCA-0528-2018.</w:t>
      </w:r>
    </w:p>
    <w:p w:rsidR="009C0252" w:rsidRPr="009C0252" w:rsidRDefault="009C0252" w:rsidP="009C0252">
      <w:pPr>
        <w:spacing w:before="120"/>
        <w:ind w:left="1134" w:right="425"/>
        <w:jc w:val="both"/>
        <w:rPr>
          <w:rFonts w:ascii="Arial" w:hAnsi="Arial" w:cs="Arial"/>
          <w:i/>
          <w:sz w:val="22"/>
          <w:szCs w:val="22"/>
        </w:rPr>
      </w:pPr>
      <w:r w:rsidRPr="009C0252">
        <w:rPr>
          <w:rFonts w:ascii="Arial" w:hAnsi="Arial" w:cs="Arial"/>
          <w:i/>
          <w:sz w:val="22"/>
          <w:szCs w:val="22"/>
        </w:rPr>
        <w:t>Adicionalmente es un caso ya conocido y atendido por el Ente Contralor, según consta en la resolución R-DCA-617-2017, y que resulta vinculante, pues se refiere a un caso específico del Instituto Tecnológico de Costa Rica, que reitera que:</w:t>
      </w:r>
    </w:p>
    <w:p w:rsidR="009C0252" w:rsidRPr="009C0252" w:rsidRDefault="009C0252" w:rsidP="009C0252">
      <w:pPr>
        <w:ind w:left="993" w:right="423"/>
        <w:jc w:val="both"/>
        <w:rPr>
          <w:rFonts w:ascii="Arial" w:hAnsi="Arial" w:cs="Arial"/>
          <w:i/>
          <w:sz w:val="22"/>
          <w:szCs w:val="22"/>
        </w:rPr>
      </w:pPr>
    </w:p>
    <w:p w:rsidR="009C0252" w:rsidRPr="009C0252" w:rsidRDefault="009C0252" w:rsidP="009C0252">
      <w:pPr>
        <w:ind w:left="993" w:right="423"/>
        <w:jc w:val="both"/>
        <w:rPr>
          <w:rFonts w:ascii="Arial" w:hAnsi="Arial" w:cs="Arial"/>
          <w:i/>
          <w:sz w:val="22"/>
          <w:szCs w:val="22"/>
        </w:rPr>
      </w:pPr>
      <w:r w:rsidRPr="009C0252">
        <w:rPr>
          <w:rFonts w:ascii="Arial" w:hAnsi="Arial" w:cs="Arial"/>
          <w:i/>
          <w:sz w:val="22"/>
          <w:szCs w:val="22"/>
        </w:rPr>
        <w:t>“…de una lectura del artículo 72 del Reglamento a la Ley de Contratación Administrativa, se desprende que es prerrogativa de la Administración la definición de condiciones de capacidad y solvencia técnica para los miembros del consorcio, como podría ser la experiencia mínima”.</w:t>
      </w:r>
    </w:p>
    <w:p w:rsidR="009C0252" w:rsidRPr="009C0252" w:rsidRDefault="009C0252" w:rsidP="009C0252">
      <w:pPr>
        <w:ind w:left="993" w:right="423"/>
        <w:jc w:val="both"/>
        <w:rPr>
          <w:rFonts w:ascii="Arial" w:hAnsi="Arial" w:cs="Arial"/>
          <w:bCs/>
          <w:i/>
          <w:sz w:val="22"/>
          <w:szCs w:val="22"/>
        </w:rPr>
      </w:pPr>
    </w:p>
    <w:p w:rsidR="009C0252" w:rsidRPr="009C0252" w:rsidRDefault="009C0252" w:rsidP="009C0252">
      <w:pPr>
        <w:numPr>
          <w:ilvl w:val="0"/>
          <w:numId w:val="27"/>
        </w:numPr>
        <w:ind w:left="1134" w:right="423"/>
        <w:contextualSpacing/>
        <w:jc w:val="both"/>
        <w:rPr>
          <w:rFonts w:ascii="Arial" w:hAnsi="Arial" w:cs="Arial"/>
          <w:bCs/>
          <w:i/>
          <w:sz w:val="22"/>
          <w:szCs w:val="22"/>
        </w:rPr>
      </w:pPr>
      <w:r w:rsidRPr="009C0252">
        <w:rPr>
          <w:rFonts w:ascii="Arial" w:hAnsi="Arial" w:cs="Arial"/>
          <w:bCs/>
          <w:i/>
          <w:sz w:val="22"/>
          <w:szCs w:val="22"/>
        </w:rPr>
        <w:t xml:space="preserve">El incumplimiento del Consorcio Grupo </w:t>
      </w:r>
      <w:proofErr w:type="spellStart"/>
      <w:r w:rsidRPr="009C0252">
        <w:rPr>
          <w:rFonts w:ascii="Arial" w:hAnsi="Arial" w:cs="Arial"/>
          <w:bCs/>
          <w:i/>
          <w:sz w:val="22"/>
          <w:szCs w:val="22"/>
        </w:rPr>
        <w:t>Florex</w:t>
      </w:r>
      <w:proofErr w:type="spellEnd"/>
      <w:r w:rsidRPr="009C0252">
        <w:rPr>
          <w:rFonts w:ascii="Arial" w:hAnsi="Arial" w:cs="Arial"/>
          <w:bCs/>
          <w:i/>
          <w:sz w:val="22"/>
          <w:szCs w:val="22"/>
        </w:rPr>
        <w:t xml:space="preserve"> es motivo de exclusión de la oferta, pues el pliego </w:t>
      </w:r>
      <w:proofErr w:type="spellStart"/>
      <w:r w:rsidRPr="009C0252">
        <w:rPr>
          <w:rFonts w:ascii="Arial" w:hAnsi="Arial" w:cs="Arial"/>
          <w:bCs/>
          <w:i/>
          <w:sz w:val="22"/>
          <w:szCs w:val="22"/>
        </w:rPr>
        <w:t>cartelario</w:t>
      </w:r>
      <w:proofErr w:type="spellEnd"/>
      <w:r w:rsidRPr="009C0252">
        <w:rPr>
          <w:rFonts w:ascii="Arial" w:hAnsi="Arial" w:cs="Arial"/>
          <w:bCs/>
          <w:i/>
          <w:sz w:val="22"/>
          <w:szCs w:val="22"/>
        </w:rPr>
        <w:t xml:space="preserve"> es el reglamento propio del concurso y no se puede admitir una oferta que no cumpla con las condiciones cartelarias.AP-233-2019, señalan el pronunciamiento del Ente Contralor en el tema.</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993" w:right="423"/>
        <w:contextualSpacing/>
        <w:jc w:val="both"/>
        <w:rPr>
          <w:rFonts w:ascii="Arial" w:eastAsia="DejaVu Sans" w:hAnsi="Arial" w:cs="Arial"/>
          <w:i/>
          <w:kern w:val="2"/>
          <w:sz w:val="22"/>
          <w:szCs w:val="22"/>
          <w:lang w:val="es-CR" w:eastAsia="hi-IN" w:bidi="hi-IN"/>
        </w:rPr>
      </w:pPr>
      <w:r w:rsidRPr="009C0252">
        <w:rPr>
          <w:rFonts w:ascii="Arial" w:eastAsia="DejaVu Sans" w:hAnsi="Arial" w:cs="Arial"/>
          <w:i/>
          <w:kern w:val="2"/>
          <w:sz w:val="22"/>
          <w:szCs w:val="22"/>
          <w:lang w:val="es-CR" w:eastAsia="hi-IN" w:bidi="hi-IN"/>
        </w:rPr>
        <w:t>Tal y como consta en las páginas 3 y 4, del informe de adjudicación de la licitación en mención, se indica las razones de la inelegibilidad de la oferta, es decir, la oferta no podría ser sujeta de adjudicación y por tanto es excluida del concurso. Si bien es cierto la oferta del Consorcio fue valorada, el incumplimiento de la experiencia no permite su adjudicación.</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1134" w:right="423"/>
        <w:contextualSpacing/>
        <w:jc w:val="both"/>
        <w:rPr>
          <w:rFonts w:ascii="Arial" w:eastAsia="DejaVu Sans" w:hAnsi="Arial" w:cs="Arial"/>
          <w:i/>
          <w:kern w:val="2"/>
          <w:sz w:val="22"/>
          <w:szCs w:val="22"/>
          <w:lang w:val="es-CR" w:eastAsia="hi-IN" w:bidi="hi-IN"/>
        </w:rPr>
      </w:pPr>
      <w:r w:rsidRPr="009C0252">
        <w:rPr>
          <w:rFonts w:ascii="Arial" w:eastAsia="DejaVu Sans" w:hAnsi="Arial" w:cs="Arial"/>
          <w:i/>
          <w:kern w:val="2"/>
          <w:sz w:val="22"/>
          <w:szCs w:val="22"/>
          <w:lang w:val="es-CR" w:eastAsia="hi-IN" w:bidi="hi-IN"/>
        </w:rPr>
        <w:t xml:space="preserve">El Departamento de Aprovisionamiento, en conjunto con los entes técnicos, legales, </w:t>
      </w:r>
      <w:r w:rsidRPr="009C0252">
        <w:rPr>
          <w:rFonts w:ascii="Arial" w:hAnsi="Arial" w:cs="Arial"/>
          <w:bCs/>
          <w:i/>
          <w:sz w:val="22"/>
          <w:szCs w:val="22"/>
        </w:rPr>
        <w:t>financieros</w:t>
      </w:r>
      <w:r w:rsidRPr="009C0252">
        <w:rPr>
          <w:rFonts w:ascii="Arial" w:eastAsia="DejaVu Sans" w:hAnsi="Arial" w:cs="Arial"/>
          <w:i/>
          <w:kern w:val="2"/>
          <w:sz w:val="22"/>
          <w:szCs w:val="22"/>
          <w:lang w:val="es-CR" w:eastAsia="hi-IN" w:bidi="hi-IN"/>
        </w:rPr>
        <w:t xml:space="preserve">, etc.; hacen su estudio de las ofertas, y la oferta del Consorcio Grupo </w:t>
      </w:r>
      <w:proofErr w:type="spellStart"/>
      <w:r w:rsidRPr="009C0252">
        <w:rPr>
          <w:rFonts w:ascii="Arial" w:eastAsia="DejaVu Sans" w:hAnsi="Arial" w:cs="Arial"/>
          <w:i/>
          <w:kern w:val="2"/>
          <w:sz w:val="22"/>
          <w:szCs w:val="22"/>
          <w:lang w:val="es-CR" w:eastAsia="hi-IN" w:bidi="hi-IN"/>
        </w:rPr>
        <w:t>Florex</w:t>
      </w:r>
      <w:proofErr w:type="spellEnd"/>
      <w:r w:rsidRPr="009C0252">
        <w:rPr>
          <w:rFonts w:ascii="Arial" w:eastAsia="DejaVu Sans" w:hAnsi="Arial" w:cs="Arial"/>
          <w:i/>
          <w:kern w:val="2"/>
          <w:sz w:val="22"/>
          <w:szCs w:val="22"/>
          <w:lang w:val="es-CR" w:eastAsia="hi-IN" w:bidi="hi-IN"/>
        </w:rPr>
        <w:t xml:space="preserve"> fue analizada en forma conjunta, sin embargo, al ser inelegible no podría ser sujeta de adjudicación, es excluida del resto del análisis, aunque sí fue comparada.</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1134" w:right="423"/>
        <w:contextualSpacing/>
        <w:jc w:val="both"/>
        <w:rPr>
          <w:rFonts w:ascii="Arial" w:eastAsia="DejaVu Sans" w:hAnsi="Arial" w:cs="Arial"/>
          <w:i/>
          <w:kern w:val="2"/>
          <w:sz w:val="22"/>
          <w:szCs w:val="22"/>
          <w:lang w:val="es-CR" w:eastAsia="hi-IN" w:bidi="hi-IN"/>
        </w:rPr>
      </w:pPr>
      <w:r w:rsidRPr="009C0252">
        <w:rPr>
          <w:rFonts w:ascii="Arial" w:eastAsia="DejaVu Sans" w:hAnsi="Arial" w:cs="Arial"/>
          <w:i/>
          <w:kern w:val="2"/>
          <w:sz w:val="22"/>
          <w:szCs w:val="22"/>
          <w:lang w:val="es-CR" w:eastAsia="hi-IN" w:bidi="hi-IN"/>
        </w:rPr>
        <w:t>Se aclara también que si las ofertas son elegibles las ofertas son subsanadas cuando la Ley de Contratación Administrativa, el Reglamento a la Ley de Contratación Administrativa y el pliego de condiciones del procedimiento lo permiten, con el fin de preservar las ofertas, sin embargo, hay una clara condición que excluye la oferta del Consorcio, de allí que no se incluye en el informe el análisis de todos los factores de evaluación.</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numPr>
          <w:ilvl w:val="0"/>
          <w:numId w:val="27"/>
        </w:numPr>
        <w:ind w:left="993" w:right="423"/>
        <w:contextualSpacing/>
        <w:jc w:val="both"/>
        <w:rPr>
          <w:rFonts w:ascii="Arial" w:eastAsia="DejaVu Sans" w:hAnsi="Arial" w:cs="Arial"/>
          <w:i/>
          <w:kern w:val="2"/>
          <w:sz w:val="22"/>
          <w:szCs w:val="22"/>
          <w:lang w:val="es-CR" w:eastAsia="hi-IN" w:bidi="hi-IN"/>
        </w:rPr>
      </w:pPr>
      <w:r w:rsidRPr="009C0252">
        <w:rPr>
          <w:rFonts w:ascii="Arial" w:eastAsia="DejaVu Sans" w:hAnsi="Arial" w:cs="Arial"/>
          <w:i/>
          <w:kern w:val="2"/>
          <w:sz w:val="22"/>
          <w:szCs w:val="22"/>
          <w:lang w:val="es-CR" w:eastAsia="hi-IN" w:bidi="hi-IN"/>
        </w:rPr>
        <w:t>Adicionalmente, en el caso particular de esta licitación, los criterios de evaluación establecidos son: Precio, Criterios Sustentables y Experiencia; y a manera de</w:t>
      </w:r>
      <w:r w:rsidRPr="009C0252">
        <w:rPr>
          <w:rFonts w:ascii="Arial" w:eastAsia="DejaVu Sans" w:hAnsi="Arial" w:cs="Arial"/>
          <w:b/>
          <w:i/>
          <w:kern w:val="2"/>
          <w:sz w:val="22"/>
          <w:szCs w:val="22"/>
          <w:lang w:val="es-CR" w:eastAsia="hi-IN" w:bidi="hi-IN"/>
        </w:rPr>
        <w:t xml:space="preserve"> ejemplo</w:t>
      </w:r>
      <w:r w:rsidRPr="009C0252">
        <w:rPr>
          <w:rFonts w:ascii="Arial" w:eastAsia="DejaVu Sans" w:hAnsi="Arial" w:cs="Arial"/>
          <w:i/>
          <w:kern w:val="2"/>
          <w:sz w:val="22"/>
          <w:szCs w:val="22"/>
          <w:lang w:val="es-CR" w:eastAsia="hi-IN" w:bidi="hi-IN"/>
        </w:rPr>
        <w:t xml:space="preserve">, </w:t>
      </w:r>
      <w:r w:rsidRPr="009C0252">
        <w:rPr>
          <w:rFonts w:ascii="Arial" w:eastAsia="DejaVu Sans" w:hAnsi="Arial" w:cs="Arial"/>
          <w:b/>
          <w:i/>
          <w:kern w:val="2"/>
          <w:sz w:val="22"/>
          <w:szCs w:val="22"/>
          <w:lang w:val="es-CR" w:eastAsia="hi-IN" w:bidi="hi-IN"/>
        </w:rPr>
        <w:t>(sólo con el fin de ilustrar)</w:t>
      </w:r>
      <w:r w:rsidRPr="009C0252">
        <w:rPr>
          <w:rFonts w:ascii="Arial" w:eastAsia="DejaVu Sans" w:hAnsi="Arial" w:cs="Arial"/>
          <w:i/>
          <w:kern w:val="2"/>
          <w:sz w:val="22"/>
          <w:szCs w:val="22"/>
          <w:lang w:val="es-CR" w:eastAsia="hi-IN" w:bidi="hi-IN"/>
        </w:rPr>
        <w:t xml:space="preserve"> si el Consorcio Grupo </w:t>
      </w:r>
      <w:proofErr w:type="spellStart"/>
      <w:r w:rsidRPr="009C0252">
        <w:rPr>
          <w:rFonts w:ascii="Arial" w:eastAsia="DejaVu Sans" w:hAnsi="Arial" w:cs="Arial"/>
          <w:i/>
          <w:kern w:val="2"/>
          <w:sz w:val="22"/>
          <w:szCs w:val="22"/>
          <w:lang w:val="es-CR" w:eastAsia="hi-IN" w:bidi="hi-IN"/>
        </w:rPr>
        <w:t>Florex</w:t>
      </w:r>
      <w:proofErr w:type="spellEnd"/>
      <w:r w:rsidRPr="009C0252">
        <w:rPr>
          <w:rFonts w:ascii="Arial" w:eastAsia="DejaVu Sans" w:hAnsi="Arial" w:cs="Arial"/>
          <w:i/>
          <w:kern w:val="2"/>
          <w:sz w:val="22"/>
          <w:szCs w:val="22"/>
          <w:lang w:val="es-CR" w:eastAsia="hi-IN" w:bidi="hi-IN"/>
        </w:rPr>
        <w:t xml:space="preserve"> hubiese cumplido con los criterios de sustentabilidad y experiencia, el análisis del precio sería el siguiente:</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5"/>
        <w:gridCol w:w="2977"/>
        <w:gridCol w:w="2038"/>
        <w:gridCol w:w="2740"/>
      </w:tblGrid>
      <w:tr w:rsidR="009C0252" w:rsidRPr="009C0252" w:rsidTr="00B77C01">
        <w:trPr>
          <w:trHeight w:val="258"/>
          <w:jc w:val="center"/>
        </w:trPr>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0252" w:rsidRPr="009C0252" w:rsidRDefault="009C0252" w:rsidP="009C0252">
            <w:pPr>
              <w:spacing w:before="120"/>
              <w:ind w:right="423"/>
              <w:jc w:val="center"/>
              <w:rPr>
                <w:rFonts w:asciiTheme="minorHAnsi" w:eastAsia="Calibri" w:hAnsiTheme="minorHAnsi" w:cs="Arial"/>
                <w:b/>
                <w:bCs/>
                <w:i/>
                <w:iCs/>
                <w:sz w:val="22"/>
                <w:szCs w:val="22"/>
              </w:rPr>
            </w:pPr>
          </w:p>
          <w:p w:rsidR="009C0252" w:rsidRPr="009C0252" w:rsidRDefault="009C0252" w:rsidP="009C0252">
            <w:pPr>
              <w:spacing w:before="120"/>
              <w:ind w:right="423"/>
              <w:jc w:val="center"/>
              <w:rPr>
                <w:rFonts w:asciiTheme="minorHAnsi" w:hAnsiTheme="minorHAnsi" w:cs="Arial"/>
                <w:b/>
                <w:bCs/>
                <w:i/>
                <w:iCs/>
                <w:sz w:val="22"/>
                <w:szCs w:val="22"/>
              </w:rPr>
            </w:pPr>
            <w:r w:rsidRPr="009C0252">
              <w:rPr>
                <w:rFonts w:asciiTheme="minorHAnsi" w:hAnsiTheme="minorHAnsi" w:cs="Arial"/>
                <w:b/>
                <w:bCs/>
                <w:i/>
                <w:iCs/>
                <w:sz w:val="22"/>
                <w:szCs w:val="22"/>
              </w:rPr>
              <w:t>Factor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0252" w:rsidRPr="009C0252" w:rsidRDefault="009C0252" w:rsidP="009C0252">
            <w:pPr>
              <w:spacing w:before="120"/>
              <w:ind w:right="423"/>
              <w:jc w:val="center"/>
              <w:rPr>
                <w:rFonts w:asciiTheme="minorHAnsi" w:hAnsiTheme="minorHAnsi" w:cs="Arial"/>
                <w:b/>
                <w:bCs/>
                <w:i/>
                <w:iCs/>
                <w:sz w:val="22"/>
                <w:szCs w:val="22"/>
              </w:rPr>
            </w:pPr>
          </w:p>
          <w:p w:rsidR="009C0252" w:rsidRPr="009C0252" w:rsidRDefault="009C0252" w:rsidP="009C0252">
            <w:pPr>
              <w:spacing w:before="120"/>
              <w:ind w:right="423"/>
              <w:jc w:val="center"/>
              <w:rPr>
                <w:rFonts w:asciiTheme="minorHAnsi" w:hAnsiTheme="minorHAnsi" w:cs="Arial"/>
                <w:b/>
                <w:bCs/>
                <w:i/>
                <w:iCs/>
                <w:sz w:val="22"/>
                <w:szCs w:val="22"/>
              </w:rPr>
            </w:pPr>
            <w:r w:rsidRPr="009C0252">
              <w:rPr>
                <w:rFonts w:asciiTheme="minorHAnsi" w:hAnsiTheme="minorHAnsi" w:cs="Arial"/>
                <w:b/>
                <w:bCs/>
                <w:i/>
                <w:iCs/>
                <w:sz w:val="22"/>
                <w:szCs w:val="22"/>
              </w:rPr>
              <w:t>Forma de Calificación</w:t>
            </w:r>
          </w:p>
        </w:tc>
        <w:tc>
          <w:tcPr>
            <w:tcW w:w="2038" w:type="dxa"/>
            <w:tcBorders>
              <w:top w:val="single" w:sz="4" w:space="0" w:color="auto"/>
              <w:left w:val="single" w:sz="4" w:space="0" w:color="auto"/>
              <w:bottom w:val="single" w:sz="4" w:space="0" w:color="auto"/>
              <w:right w:val="single" w:sz="4" w:space="0" w:color="auto"/>
            </w:tcBorders>
          </w:tcPr>
          <w:p w:rsidR="009C0252" w:rsidRPr="009C0252" w:rsidRDefault="009C0252" w:rsidP="009C0252">
            <w:pPr>
              <w:spacing w:before="120"/>
              <w:ind w:right="423"/>
              <w:jc w:val="center"/>
              <w:rPr>
                <w:rFonts w:asciiTheme="minorHAnsi" w:hAnsiTheme="minorHAnsi" w:cs="Arial"/>
                <w:b/>
                <w:bCs/>
                <w:i/>
                <w:iCs/>
                <w:sz w:val="22"/>
                <w:szCs w:val="22"/>
              </w:rPr>
            </w:pPr>
            <w:r w:rsidRPr="009C0252">
              <w:rPr>
                <w:rFonts w:asciiTheme="minorHAnsi" w:hAnsiTheme="minorHAnsi" w:cs="Arial"/>
                <w:b/>
                <w:i/>
                <w:sz w:val="22"/>
                <w:szCs w:val="22"/>
              </w:rPr>
              <w:t>Distribuidora y Envasadora de Químicos S.A.</w:t>
            </w:r>
          </w:p>
        </w:tc>
        <w:tc>
          <w:tcPr>
            <w:tcW w:w="2740" w:type="dxa"/>
            <w:tcBorders>
              <w:top w:val="single" w:sz="4" w:space="0" w:color="auto"/>
              <w:left w:val="single" w:sz="4" w:space="0" w:color="auto"/>
              <w:bottom w:val="single" w:sz="4" w:space="0" w:color="auto"/>
              <w:right w:val="single" w:sz="4" w:space="0" w:color="auto"/>
            </w:tcBorders>
          </w:tcPr>
          <w:p w:rsidR="009C0252" w:rsidRPr="009C0252" w:rsidRDefault="009C0252" w:rsidP="009C0252">
            <w:pPr>
              <w:spacing w:before="120"/>
              <w:ind w:right="423"/>
              <w:jc w:val="center"/>
              <w:rPr>
                <w:rFonts w:asciiTheme="minorHAnsi" w:hAnsiTheme="minorHAnsi" w:cs="Arial"/>
                <w:b/>
                <w:i/>
                <w:sz w:val="22"/>
                <w:szCs w:val="22"/>
              </w:rPr>
            </w:pPr>
            <w:r w:rsidRPr="009C0252">
              <w:rPr>
                <w:rFonts w:asciiTheme="minorHAnsi" w:hAnsiTheme="minorHAnsi" w:cs="Arial"/>
                <w:b/>
                <w:i/>
                <w:sz w:val="22"/>
                <w:szCs w:val="22"/>
              </w:rPr>
              <w:t xml:space="preserve">Consorcio Grupo </w:t>
            </w:r>
            <w:proofErr w:type="spellStart"/>
            <w:r w:rsidRPr="009C0252">
              <w:rPr>
                <w:rFonts w:asciiTheme="minorHAnsi" w:hAnsiTheme="minorHAnsi" w:cs="Arial"/>
                <w:b/>
                <w:i/>
                <w:sz w:val="22"/>
                <w:szCs w:val="22"/>
              </w:rPr>
              <w:t>Florex</w:t>
            </w:r>
            <w:proofErr w:type="spellEnd"/>
          </w:p>
        </w:tc>
      </w:tr>
      <w:tr w:rsidR="009C0252" w:rsidRPr="009C0252" w:rsidTr="00B77C01">
        <w:trPr>
          <w:trHeight w:val="934"/>
          <w:jc w:val="center"/>
        </w:trPr>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ind w:right="423"/>
              <w:jc w:val="center"/>
              <w:rPr>
                <w:rFonts w:asciiTheme="minorHAnsi" w:hAnsiTheme="minorHAnsi" w:cs="Arial"/>
                <w:i/>
                <w:sz w:val="22"/>
                <w:szCs w:val="22"/>
              </w:rPr>
            </w:pPr>
            <w:r w:rsidRPr="009C0252">
              <w:rPr>
                <w:rFonts w:asciiTheme="minorHAnsi" w:hAnsiTheme="minorHAnsi" w:cs="Arial"/>
                <w:i/>
                <w:sz w:val="22"/>
                <w:szCs w:val="22"/>
              </w:rPr>
              <w:t>Precio</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ind w:right="423"/>
              <w:rPr>
                <w:i/>
                <w:sz w:val="22"/>
                <w:szCs w:val="22"/>
                <w:lang w:val="es-ES_tradnl"/>
              </w:rPr>
            </w:pPr>
            <m:oMathPara>
              <m:oMathParaPr>
                <m:jc m:val="center"/>
              </m:oMathParaPr>
              <m:oMath>
                <m:r>
                  <w:rPr>
                    <w:rFonts w:ascii="Cambria Math" w:hAnsi="Cambria Math"/>
                    <w:sz w:val="22"/>
                    <w:szCs w:val="22"/>
                    <w:lang w:val="es-ES_tradnl"/>
                  </w:rPr>
                  <m:t>70%x</m:t>
                </m:r>
                <m:d>
                  <m:dPr>
                    <m:ctrlPr>
                      <w:rPr>
                        <w:rFonts w:ascii="Cambria Math" w:hAnsi="Cambria Math"/>
                        <w:i/>
                        <w:sz w:val="22"/>
                        <w:szCs w:val="22"/>
                        <w:lang w:val="es-ES_tradnl"/>
                      </w:rPr>
                    </m:ctrlPr>
                  </m:dPr>
                  <m:e>
                    <m:f>
                      <m:fPr>
                        <m:ctrlPr>
                          <w:rPr>
                            <w:rFonts w:ascii="Cambria Math" w:hAnsi="Cambria Math"/>
                            <w:i/>
                            <w:sz w:val="22"/>
                            <w:szCs w:val="22"/>
                            <w:lang w:val="es-ES_tradnl"/>
                          </w:rPr>
                        </m:ctrlPr>
                      </m:fPr>
                      <m:num>
                        <m:r>
                          <w:rPr>
                            <w:rFonts w:ascii="Cambria Math" w:hAnsi="Cambria Math"/>
                            <w:sz w:val="22"/>
                            <w:szCs w:val="22"/>
                            <w:lang w:val="es-ES_tradnl"/>
                          </w:rPr>
                          <m:t>Menor precio de las ofertas</m:t>
                        </m:r>
                      </m:num>
                      <m:den>
                        <m:r>
                          <w:rPr>
                            <w:rFonts w:ascii="Cambria Math" w:hAnsi="Cambria Math"/>
                            <w:sz w:val="22"/>
                            <w:szCs w:val="22"/>
                            <w:lang w:val="es-ES_tradnl"/>
                          </w:rPr>
                          <m:t>Precio de la oferta en estudio</m:t>
                        </m:r>
                      </m:den>
                    </m:f>
                  </m:e>
                </m:d>
              </m:oMath>
            </m:oMathPara>
          </w:p>
        </w:tc>
        <w:tc>
          <w:tcPr>
            <w:tcW w:w="2038" w:type="dxa"/>
            <w:tcBorders>
              <w:top w:val="single" w:sz="4" w:space="0" w:color="auto"/>
              <w:left w:val="single" w:sz="4" w:space="0" w:color="auto"/>
              <w:bottom w:val="single" w:sz="4" w:space="0" w:color="auto"/>
              <w:right w:val="single" w:sz="4" w:space="0" w:color="auto"/>
            </w:tcBorders>
            <w:hideMark/>
          </w:tcPr>
          <w:p w:rsidR="009C0252" w:rsidRPr="009C0252" w:rsidRDefault="009C0252" w:rsidP="009C0252">
            <w:pPr>
              <w:spacing w:before="120"/>
              <w:ind w:right="423"/>
              <w:rPr>
                <w:rFonts w:asciiTheme="minorHAnsi" w:hAnsiTheme="minorHAnsi" w:cs="Arial"/>
                <w:i/>
                <w:sz w:val="22"/>
                <w:szCs w:val="22"/>
              </w:rPr>
            </w:pPr>
            <w:r w:rsidRPr="009C0252">
              <w:rPr>
                <w:rFonts w:asciiTheme="minorHAnsi" w:hAnsiTheme="minorHAnsi" w:cs="Arial"/>
                <w:i/>
                <w:sz w:val="22"/>
                <w:szCs w:val="22"/>
              </w:rPr>
              <w:t xml:space="preserve">   </w:t>
            </w:r>
            <m:oMath>
              <m:r>
                <w:rPr>
                  <w:rFonts w:ascii="Cambria Math" w:hAnsi="Cambria Math"/>
                  <w:sz w:val="22"/>
                  <w:szCs w:val="22"/>
                  <w:lang w:val="es-ES_tradnl"/>
                </w:rPr>
                <m:t>70%x</m:t>
              </m:r>
              <m:d>
                <m:dPr>
                  <m:ctrlPr>
                    <w:rPr>
                      <w:rFonts w:ascii="Cambria Math" w:hAnsi="Cambria Math"/>
                      <w:i/>
                      <w:sz w:val="22"/>
                      <w:szCs w:val="22"/>
                      <w:lang w:val="es-ES_tradnl"/>
                    </w:rPr>
                  </m:ctrlPr>
                </m:dPr>
                <m:e>
                  <m:f>
                    <m:fPr>
                      <m:ctrlPr>
                        <w:rPr>
                          <w:rFonts w:ascii="Cambria Math" w:hAnsi="Cambria Math"/>
                          <w:i/>
                          <w:sz w:val="22"/>
                          <w:szCs w:val="22"/>
                          <w:lang w:val="es-ES_tradnl"/>
                        </w:rPr>
                      </m:ctrlPr>
                    </m:fPr>
                    <m:num>
                      <m:r>
                        <w:rPr>
                          <w:rFonts w:ascii="Cambria Math" w:hAnsi="Cambria Math" w:cs="Arial"/>
                          <w:sz w:val="22"/>
                          <w:szCs w:val="22"/>
                          <w:u w:val="single"/>
                          <w:lang w:eastAsia="es-CR"/>
                        </w:rPr>
                        <m:t>₡23.593.106,64</m:t>
                      </m:r>
                    </m:num>
                    <m:den>
                      <m:r>
                        <w:rPr>
                          <w:rFonts w:ascii="Cambria Math" w:hAnsi="Cambria Math" w:cs="Arial"/>
                          <w:sz w:val="22"/>
                          <w:szCs w:val="22"/>
                          <w:lang w:eastAsia="es-CR"/>
                        </w:rPr>
                        <m:t>₡</m:t>
                      </m:r>
                      <m:r>
                        <w:rPr>
                          <w:rFonts w:ascii="Cambria Math" w:hAnsi="Cambria Math" w:cs="Arial"/>
                          <w:sz w:val="22"/>
                          <w:szCs w:val="22"/>
                          <w:u w:val="single"/>
                          <w:lang w:eastAsia="es-CR"/>
                        </w:rPr>
                        <m:t>23.593.106,64</m:t>
                      </m:r>
                    </m:den>
                  </m:f>
                </m:e>
              </m:d>
            </m:oMath>
          </w:p>
        </w:tc>
        <w:tc>
          <w:tcPr>
            <w:tcW w:w="2740" w:type="dxa"/>
            <w:tcBorders>
              <w:top w:val="single" w:sz="4" w:space="0" w:color="auto"/>
              <w:left w:val="single" w:sz="4" w:space="0" w:color="auto"/>
              <w:bottom w:val="single" w:sz="4" w:space="0" w:color="auto"/>
              <w:right w:val="single" w:sz="4" w:space="0" w:color="auto"/>
            </w:tcBorders>
          </w:tcPr>
          <w:p w:rsidR="009C0252" w:rsidRPr="009C0252" w:rsidRDefault="009C0252" w:rsidP="009C0252">
            <w:pPr>
              <w:spacing w:before="120"/>
              <w:ind w:right="423"/>
              <w:rPr>
                <w:rFonts w:asciiTheme="minorHAnsi" w:hAnsiTheme="minorHAnsi" w:cs="Arial"/>
                <w:i/>
                <w:sz w:val="22"/>
                <w:szCs w:val="22"/>
              </w:rPr>
            </w:pPr>
            <m:oMathPara>
              <m:oMath>
                <m:r>
                  <w:rPr>
                    <w:rFonts w:ascii="Cambria Math" w:hAnsi="Cambria Math"/>
                    <w:sz w:val="22"/>
                    <w:szCs w:val="22"/>
                    <w:lang w:val="es-ES_tradnl"/>
                  </w:rPr>
                  <m:t>70%x</m:t>
                </m:r>
                <m:d>
                  <m:dPr>
                    <m:ctrlPr>
                      <w:rPr>
                        <w:rFonts w:ascii="Cambria Math" w:hAnsi="Cambria Math"/>
                        <w:i/>
                        <w:sz w:val="22"/>
                        <w:szCs w:val="22"/>
                        <w:lang w:val="es-ES_tradnl"/>
                      </w:rPr>
                    </m:ctrlPr>
                  </m:dPr>
                  <m:e>
                    <m:f>
                      <m:fPr>
                        <m:ctrlPr>
                          <w:rPr>
                            <w:rFonts w:ascii="Cambria Math" w:hAnsi="Cambria Math"/>
                            <w:i/>
                            <w:sz w:val="22"/>
                            <w:szCs w:val="22"/>
                            <w:lang w:val="es-ES_tradnl"/>
                          </w:rPr>
                        </m:ctrlPr>
                      </m:fPr>
                      <m:num>
                        <m:r>
                          <w:rPr>
                            <w:rFonts w:ascii="Cambria Math" w:hAnsi="Cambria Math" w:cs="Arial"/>
                            <w:sz w:val="22"/>
                            <w:szCs w:val="22"/>
                            <w:u w:val="single"/>
                            <w:lang w:eastAsia="es-CR"/>
                          </w:rPr>
                          <m:t>₡25.212.050,61</m:t>
                        </m:r>
                      </m:num>
                      <m:den>
                        <m:r>
                          <w:rPr>
                            <w:rFonts w:ascii="Cambria Math" w:hAnsi="Cambria Math" w:cs="Arial"/>
                            <w:sz w:val="22"/>
                            <w:szCs w:val="22"/>
                            <w:lang w:eastAsia="es-CR"/>
                          </w:rPr>
                          <m:t>₡</m:t>
                        </m:r>
                        <m:r>
                          <w:rPr>
                            <w:rFonts w:ascii="Cambria Math" w:hAnsi="Cambria Math" w:cs="Arial"/>
                            <w:sz w:val="22"/>
                            <w:szCs w:val="22"/>
                            <w:u w:val="single"/>
                            <w:lang w:eastAsia="es-CR"/>
                          </w:rPr>
                          <m:t>23.593.106,64</m:t>
                        </m:r>
                      </m:den>
                    </m:f>
                  </m:e>
                </m:d>
              </m:oMath>
            </m:oMathPara>
          </w:p>
        </w:tc>
      </w:tr>
      <w:tr w:rsidR="009C0252" w:rsidRPr="009C0252" w:rsidTr="00B77C01">
        <w:trPr>
          <w:trHeight w:val="244"/>
          <w:jc w:val="center"/>
        </w:trPr>
        <w:tc>
          <w:tcPr>
            <w:tcW w:w="42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0252" w:rsidRPr="009C0252" w:rsidRDefault="009C0252" w:rsidP="009C0252">
            <w:pPr>
              <w:spacing w:before="120"/>
              <w:ind w:right="423"/>
              <w:jc w:val="center"/>
              <w:rPr>
                <w:rFonts w:asciiTheme="minorHAnsi" w:hAnsiTheme="minorHAnsi" w:cs="Arial"/>
                <w:b/>
                <w:i/>
                <w:noProof/>
                <w:sz w:val="22"/>
                <w:szCs w:val="22"/>
                <w:lang w:eastAsia="es-CR"/>
              </w:rPr>
            </w:pPr>
            <w:r w:rsidRPr="009C0252">
              <w:rPr>
                <w:rFonts w:asciiTheme="minorHAnsi" w:hAnsiTheme="minorHAnsi" w:cs="Arial"/>
                <w:b/>
                <w:i/>
                <w:noProof/>
                <w:sz w:val="22"/>
                <w:szCs w:val="22"/>
                <w:lang w:eastAsia="es-CR"/>
              </w:rPr>
              <w:t>Porcentaje Obtenido</w:t>
            </w:r>
          </w:p>
        </w:tc>
        <w:tc>
          <w:tcPr>
            <w:tcW w:w="2038" w:type="dxa"/>
            <w:tcBorders>
              <w:top w:val="single" w:sz="4" w:space="0" w:color="auto"/>
              <w:left w:val="single" w:sz="4" w:space="0" w:color="auto"/>
              <w:bottom w:val="single" w:sz="4" w:space="0" w:color="auto"/>
              <w:right w:val="single" w:sz="4" w:space="0" w:color="auto"/>
            </w:tcBorders>
            <w:vAlign w:val="center"/>
            <w:hideMark/>
          </w:tcPr>
          <w:p w:rsidR="009C0252" w:rsidRPr="009C0252" w:rsidRDefault="009C0252" w:rsidP="009C0252">
            <w:pPr>
              <w:spacing w:before="120"/>
              <w:ind w:right="423"/>
              <w:jc w:val="center"/>
              <w:rPr>
                <w:rFonts w:asciiTheme="majorHAnsi" w:hAnsiTheme="majorHAnsi" w:cs="Arial"/>
                <w:b/>
                <w:i/>
                <w:sz w:val="22"/>
                <w:szCs w:val="22"/>
              </w:rPr>
            </w:pPr>
            <w:r w:rsidRPr="009C0252">
              <w:rPr>
                <w:rFonts w:asciiTheme="majorHAnsi" w:hAnsiTheme="majorHAnsi" w:cs="Calibri"/>
                <w:b/>
                <w:bCs/>
                <w:i/>
                <w:sz w:val="22"/>
                <w:szCs w:val="22"/>
              </w:rPr>
              <w:t>70,00%</w:t>
            </w:r>
          </w:p>
        </w:tc>
        <w:tc>
          <w:tcPr>
            <w:tcW w:w="2740" w:type="dxa"/>
            <w:tcBorders>
              <w:top w:val="single" w:sz="4" w:space="0" w:color="auto"/>
              <w:left w:val="single" w:sz="4" w:space="0" w:color="auto"/>
              <w:bottom w:val="single" w:sz="4" w:space="0" w:color="auto"/>
              <w:right w:val="single" w:sz="4" w:space="0" w:color="auto"/>
            </w:tcBorders>
          </w:tcPr>
          <w:p w:rsidR="009C0252" w:rsidRPr="009C0252" w:rsidRDefault="009C0252" w:rsidP="009C0252">
            <w:pPr>
              <w:spacing w:before="120"/>
              <w:ind w:right="423"/>
              <w:jc w:val="center"/>
              <w:rPr>
                <w:rFonts w:asciiTheme="majorHAnsi" w:hAnsiTheme="majorHAnsi" w:cs="Calibri"/>
                <w:b/>
                <w:bCs/>
                <w:i/>
                <w:sz w:val="22"/>
                <w:szCs w:val="22"/>
              </w:rPr>
            </w:pPr>
            <w:r w:rsidRPr="009C0252">
              <w:rPr>
                <w:rFonts w:asciiTheme="majorHAnsi" w:hAnsiTheme="majorHAnsi" w:cs="Calibri"/>
                <w:b/>
                <w:bCs/>
                <w:i/>
                <w:sz w:val="22"/>
                <w:szCs w:val="22"/>
              </w:rPr>
              <w:t>65.50%</w:t>
            </w:r>
          </w:p>
        </w:tc>
      </w:tr>
      <w:tr w:rsidR="009C0252" w:rsidRPr="009C0252" w:rsidTr="00B77C01">
        <w:trPr>
          <w:trHeight w:val="244"/>
          <w:jc w:val="center"/>
        </w:trPr>
        <w:tc>
          <w:tcPr>
            <w:tcW w:w="42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0252" w:rsidRPr="009C0252" w:rsidRDefault="009C0252" w:rsidP="009C0252">
            <w:pPr>
              <w:spacing w:before="120"/>
              <w:ind w:right="423"/>
              <w:jc w:val="center"/>
              <w:rPr>
                <w:rFonts w:asciiTheme="minorHAnsi" w:hAnsiTheme="minorHAnsi" w:cs="Arial"/>
                <w:b/>
                <w:i/>
                <w:noProof/>
                <w:sz w:val="22"/>
                <w:szCs w:val="22"/>
                <w:lang w:eastAsia="es-CR"/>
              </w:rPr>
            </w:pPr>
            <w:r w:rsidRPr="009C0252">
              <w:rPr>
                <w:rFonts w:asciiTheme="minorHAnsi" w:hAnsiTheme="minorHAnsi" w:cs="Arial"/>
                <w:b/>
                <w:i/>
                <w:noProof/>
                <w:sz w:val="22"/>
                <w:szCs w:val="22"/>
                <w:lang w:eastAsia="es-CR"/>
              </w:rPr>
              <w:t>Costo anual</w:t>
            </w:r>
          </w:p>
        </w:tc>
        <w:tc>
          <w:tcPr>
            <w:tcW w:w="2038" w:type="dxa"/>
            <w:tcBorders>
              <w:top w:val="single" w:sz="4" w:space="0" w:color="auto"/>
              <w:left w:val="single" w:sz="4" w:space="0" w:color="auto"/>
              <w:bottom w:val="single" w:sz="4" w:space="0" w:color="auto"/>
              <w:right w:val="single" w:sz="4" w:space="0" w:color="auto"/>
            </w:tcBorders>
            <w:vAlign w:val="bottom"/>
          </w:tcPr>
          <w:p w:rsidR="009C0252" w:rsidRPr="009C0252" w:rsidRDefault="009C0252" w:rsidP="009C0252">
            <w:pPr>
              <w:ind w:right="423"/>
              <w:rPr>
                <w:rFonts w:asciiTheme="majorHAnsi" w:hAnsiTheme="majorHAnsi"/>
                <w:b/>
                <w:i/>
                <w:sz w:val="22"/>
                <w:szCs w:val="22"/>
              </w:rPr>
            </w:pPr>
            <w:r w:rsidRPr="009C0252">
              <w:rPr>
                <w:rFonts w:asciiTheme="majorHAnsi" w:hAnsiTheme="majorHAnsi"/>
                <w:b/>
                <w:i/>
                <w:sz w:val="22"/>
                <w:szCs w:val="22"/>
              </w:rPr>
              <w:t xml:space="preserve">               </w:t>
            </w:r>
            <w:r w:rsidRPr="009C0252">
              <w:rPr>
                <w:rFonts w:asciiTheme="majorHAnsi" w:hAnsiTheme="majorHAnsi" w:cs="Arial"/>
                <w:b/>
                <w:i/>
                <w:sz w:val="22"/>
                <w:szCs w:val="22"/>
                <w:lang w:eastAsia="es-CR"/>
              </w:rPr>
              <w:t>₡</w:t>
            </w:r>
            <w:r w:rsidRPr="009C0252">
              <w:rPr>
                <w:rFonts w:asciiTheme="majorHAnsi" w:hAnsiTheme="majorHAnsi"/>
                <w:b/>
                <w:i/>
                <w:sz w:val="22"/>
                <w:szCs w:val="22"/>
              </w:rPr>
              <w:t xml:space="preserve">283.117.279,68 </w:t>
            </w:r>
          </w:p>
        </w:tc>
        <w:tc>
          <w:tcPr>
            <w:tcW w:w="2740" w:type="dxa"/>
            <w:tcBorders>
              <w:top w:val="single" w:sz="4" w:space="0" w:color="auto"/>
              <w:left w:val="single" w:sz="4" w:space="0" w:color="auto"/>
              <w:bottom w:val="single" w:sz="4" w:space="0" w:color="auto"/>
              <w:right w:val="single" w:sz="4" w:space="0" w:color="auto"/>
            </w:tcBorders>
            <w:vAlign w:val="bottom"/>
          </w:tcPr>
          <w:p w:rsidR="009C0252" w:rsidRPr="009C0252" w:rsidRDefault="009C0252" w:rsidP="009C0252">
            <w:pPr>
              <w:ind w:right="423"/>
              <w:rPr>
                <w:rFonts w:asciiTheme="majorHAnsi" w:hAnsiTheme="majorHAnsi"/>
                <w:b/>
                <w:i/>
                <w:sz w:val="22"/>
                <w:szCs w:val="22"/>
              </w:rPr>
            </w:pPr>
            <w:r w:rsidRPr="009C0252">
              <w:rPr>
                <w:rFonts w:asciiTheme="majorHAnsi" w:hAnsiTheme="majorHAnsi"/>
                <w:b/>
                <w:i/>
                <w:sz w:val="22"/>
                <w:szCs w:val="22"/>
              </w:rPr>
              <w:t xml:space="preserve">               </w:t>
            </w:r>
            <w:r w:rsidRPr="009C0252">
              <w:rPr>
                <w:rFonts w:asciiTheme="majorHAnsi" w:hAnsiTheme="majorHAnsi" w:cs="Arial"/>
                <w:b/>
                <w:i/>
                <w:sz w:val="22"/>
                <w:szCs w:val="22"/>
                <w:lang w:eastAsia="es-CR"/>
              </w:rPr>
              <w:t>₡</w:t>
            </w:r>
            <w:r w:rsidRPr="009C0252">
              <w:rPr>
                <w:rFonts w:asciiTheme="majorHAnsi" w:hAnsiTheme="majorHAnsi"/>
                <w:b/>
                <w:i/>
                <w:sz w:val="22"/>
                <w:szCs w:val="22"/>
              </w:rPr>
              <w:t xml:space="preserve">302.544.607,32 </w:t>
            </w:r>
          </w:p>
        </w:tc>
      </w:tr>
    </w:tbl>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ind w:left="993" w:right="423"/>
        <w:jc w:val="both"/>
        <w:rPr>
          <w:rFonts w:ascii="Arial" w:eastAsia="DejaVu Sans" w:hAnsi="Arial" w:cs="Arial"/>
          <w:i/>
          <w:kern w:val="2"/>
          <w:sz w:val="22"/>
          <w:szCs w:val="22"/>
          <w:lang w:val="es-CR" w:eastAsia="hi-IN" w:bidi="hi-IN"/>
        </w:rPr>
      </w:pPr>
      <w:r w:rsidRPr="009C0252">
        <w:rPr>
          <w:rFonts w:ascii="Arial" w:eastAsia="DejaVu Sans" w:hAnsi="Arial" w:cs="Arial"/>
          <w:i/>
          <w:kern w:val="2"/>
          <w:sz w:val="22"/>
          <w:szCs w:val="22"/>
          <w:lang w:val="es-CR" w:eastAsia="hi-IN" w:bidi="hi-IN"/>
        </w:rPr>
        <w:t xml:space="preserve">La oferta del Consorcio Grupo </w:t>
      </w:r>
      <w:proofErr w:type="spellStart"/>
      <w:r w:rsidRPr="009C0252">
        <w:rPr>
          <w:rFonts w:ascii="Arial" w:eastAsia="DejaVu Sans" w:hAnsi="Arial" w:cs="Arial"/>
          <w:i/>
          <w:kern w:val="2"/>
          <w:sz w:val="22"/>
          <w:szCs w:val="22"/>
          <w:lang w:val="es-CR" w:eastAsia="hi-IN" w:bidi="hi-IN"/>
        </w:rPr>
        <w:t>Florex</w:t>
      </w:r>
      <w:proofErr w:type="spellEnd"/>
      <w:r w:rsidRPr="009C0252">
        <w:rPr>
          <w:rFonts w:ascii="Arial" w:eastAsia="DejaVu Sans" w:hAnsi="Arial" w:cs="Arial"/>
          <w:i/>
          <w:kern w:val="2"/>
          <w:sz w:val="22"/>
          <w:szCs w:val="22"/>
          <w:lang w:val="es-CR" w:eastAsia="hi-IN" w:bidi="hi-IN"/>
        </w:rPr>
        <w:t xml:space="preserve"> representa un costo adicional anual de ¢19.427.327,64.</w:t>
      </w:r>
    </w:p>
    <w:p w:rsidR="009C0252" w:rsidRPr="009C0252" w:rsidRDefault="009C0252" w:rsidP="009C0252">
      <w:pPr>
        <w:ind w:left="993" w:right="423"/>
        <w:jc w:val="both"/>
        <w:rPr>
          <w:rFonts w:ascii="Arial" w:eastAsia="DejaVu Sans" w:hAnsi="Arial" w:cs="Arial"/>
          <w:i/>
          <w:kern w:val="2"/>
          <w:sz w:val="22"/>
          <w:szCs w:val="22"/>
          <w:lang w:val="es-CR" w:eastAsia="hi-IN" w:bidi="hi-IN"/>
        </w:rPr>
      </w:pPr>
    </w:p>
    <w:p w:rsidR="009C0252" w:rsidRPr="009C0252" w:rsidRDefault="009C0252" w:rsidP="009C0252">
      <w:pPr>
        <w:ind w:left="993" w:right="423"/>
        <w:jc w:val="both"/>
        <w:rPr>
          <w:rFonts w:ascii="Arial" w:hAnsi="Arial" w:cs="Arial"/>
          <w:i/>
          <w:sz w:val="22"/>
          <w:szCs w:val="22"/>
        </w:rPr>
      </w:pPr>
      <w:r w:rsidRPr="009C0252">
        <w:rPr>
          <w:rFonts w:ascii="Arial" w:eastAsia="DejaVu Sans" w:hAnsi="Arial" w:cs="Arial"/>
          <w:i/>
          <w:kern w:val="2"/>
          <w:sz w:val="22"/>
          <w:szCs w:val="22"/>
          <w:lang w:val="es-CR" w:eastAsia="hi-IN" w:bidi="hi-IN"/>
        </w:rPr>
        <w:t xml:space="preserve">Como respuesta a la consulta del MAE. Nelson Ortega Jiménez, se aclara que en el pliego de condiciones se estableció, en las condiciones generales, inciso 11, que </w:t>
      </w:r>
      <w:r w:rsidRPr="009C0252">
        <w:rPr>
          <w:rFonts w:ascii="Arial" w:hAnsi="Arial" w:cs="Arial"/>
          <w:i/>
          <w:sz w:val="22"/>
          <w:szCs w:val="22"/>
        </w:rPr>
        <w:t>el contrato tendrá un plazo de 1 año, prorrogable por tres periodos iguales hasta un máximo de 4 años.”</w:t>
      </w:r>
    </w:p>
    <w:p w:rsidR="009C0252" w:rsidRPr="009C0252" w:rsidRDefault="009C0252" w:rsidP="009C0252">
      <w:pPr>
        <w:jc w:val="both"/>
        <w:rPr>
          <w:rFonts w:ascii="Arial" w:hAnsi="Arial" w:cs="Arial"/>
          <w:sz w:val="22"/>
          <w:szCs w:val="21"/>
        </w:rPr>
      </w:pPr>
    </w:p>
    <w:p w:rsidR="009C0252" w:rsidRPr="009C0252" w:rsidRDefault="009C0252" w:rsidP="009C0252">
      <w:pPr>
        <w:numPr>
          <w:ilvl w:val="0"/>
          <w:numId w:val="21"/>
        </w:numPr>
        <w:tabs>
          <w:tab w:val="center" w:pos="4986"/>
        </w:tabs>
        <w:ind w:left="567" w:hanging="567"/>
        <w:contextualSpacing/>
        <w:jc w:val="both"/>
        <w:outlineLvl w:val="0"/>
        <w:rPr>
          <w:rFonts w:ascii="Arial" w:hAnsi="Arial" w:cs="Arial"/>
          <w:bCs/>
        </w:rPr>
      </w:pPr>
      <w:r w:rsidRPr="009C0252">
        <w:rPr>
          <w:rFonts w:ascii="Arial" w:hAnsi="Arial" w:cs="Arial"/>
          <w:iCs/>
        </w:rPr>
        <w:t>Los integrantes de la Comisión consideran que se recibieron los insumos para poder tomar una decisión y se dispone elevar la propuesta al Consejo Institucional, en razón de que:</w:t>
      </w:r>
    </w:p>
    <w:p w:rsidR="009C0252" w:rsidRPr="009C0252" w:rsidRDefault="009C0252" w:rsidP="009C0252">
      <w:pPr>
        <w:tabs>
          <w:tab w:val="center" w:pos="4986"/>
        </w:tabs>
        <w:contextualSpacing/>
        <w:jc w:val="both"/>
        <w:outlineLvl w:val="0"/>
        <w:rPr>
          <w:rFonts w:ascii="Arial" w:hAnsi="Arial" w:cs="Arial"/>
          <w:bCs/>
        </w:rPr>
      </w:pPr>
    </w:p>
    <w:p w:rsidR="009C0252" w:rsidRPr="009C0252" w:rsidRDefault="009C0252" w:rsidP="009C0252">
      <w:pPr>
        <w:numPr>
          <w:ilvl w:val="0"/>
          <w:numId w:val="26"/>
        </w:numPr>
        <w:tabs>
          <w:tab w:val="center" w:pos="4986"/>
        </w:tabs>
        <w:contextualSpacing/>
        <w:jc w:val="both"/>
        <w:outlineLvl w:val="0"/>
        <w:rPr>
          <w:rFonts w:ascii="Arial" w:hAnsi="Arial" w:cs="Arial"/>
          <w:bCs/>
        </w:rPr>
      </w:pPr>
      <w:r w:rsidRPr="009C0252">
        <w:rPr>
          <w:rFonts w:ascii="Arial" w:hAnsi="Arial" w:cs="Arial"/>
          <w:bCs/>
        </w:rPr>
        <w:t xml:space="preserve">El Departamento de Servicios Generales, mediante memorando SG-19-2019, remite criterio técnico y recomienda adjudicar a la Empresa </w:t>
      </w:r>
      <w:r w:rsidRPr="009C0252">
        <w:rPr>
          <w:rFonts w:ascii="Arial" w:hAnsi="Arial" w:cs="Arial"/>
        </w:rPr>
        <w:t>Distribuidora y Envasadora de Químicos S.A., Cédula Jurídica 3-101-059070.</w:t>
      </w:r>
    </w:p>
    <w:p w:rsidR="009C0252" w:rsidRPr="009C0252" w:rsidRDefault="009C0252" w:rsidP="009C0252">
      <w:pPr>
        <w:numPr>
          <w:ilvl w:val="0"/>
          <w:numId w:val="26"/>
        </w:numPr>
        <w:tabs>
          <w:tab w:val="center" w:pos="4986"/>
        </w:tabs>
        <w:contextualSpacing/>
        <w:jc w:val="both"/>
        <w:outlineLvl w:val="0"/>
        <w:rPr>
          <w:rFonts w:ascii="Arial" w:hAnsi="Arial" w:cs="Arial"/>
          <w:bCs/>
        </w:rPr>
      </w:pPr>
      <w:r w:rsidRPr="009C0252">
        <w:rPr>
          <w:rFonts w:ascii="Arial" w:hAnsi="Arial" w:cs="Arial"/>
        </w:rPr>
        <w:t>La Unidad Institucional de Gestión Ambiental y Seguridad Laboral, mediante memorando GASEL-009-2019, remite informe técnico en el cual recomienda optar por la propuesta base presentada por DEQUISA, por ser la oferta que incluye las bolsas con características según el cartel.</w:t>
      </w:r>
    </w:p>
    <w:p w:rsidR="009C0252" w:rsidRPr="009C0252" w:rsidRDefault="009C0252" w:rsidP="009C0252">
      <w:pPr>
        <w:numPr>
          <w:ilvl w:val="0"/>
          <w:numId w:val="26"/>
        </w:numPr>
        <w:tabs>
          <w:tab w:val="center" w:pos="4986"/>
        </w:tabs>
        <w:contextualSpacing/>
        <w:jc w:val="both"/>
        <w:outlineLvl w:val="0"/>
        <w:rPr>
          <w:rFonts w:ascii="Arial" w:hAnsi="Arial" w:cs="Arial"/>
          <w:bCs/>
        </w:rPr>
      </w:pPr>
      <w:r w:rsidRPr="009C0252">
        <w:rPr>
          <w:rFonts w:ascii="Arial" w:hAnsi="Arial" w:cs="Arial"/>
          <w:bCs/>
        </w:rPr>
        <w:t>El Informe de adjudicación de la Licitación Pública Nº 2018LN-000003-APITCR, “Servicio de Aseo y Limpieza, Sede Central” recomienda adjudicar a Distribuidora y Envasadora de Químicos S.A, Cédula jurídica 3-101-059070.</w:t>
      </w:r>
    </w:p>
    <w:p w:rsidR="009C0252" w:rsidRPr="009C0252" w:rsidRDefault="009C0252" w:rsidP="009C0252">
      <w:pPr>
        <w:numPr>
          <w:ilvl w:val="0"/>
          <w:numId w:val="26"/>
        </w:numPr>
        <w:tabs>
          <w:tab w:val="center" w:pos="4986"/>
        </w:tabs>
        <w:contextualSpacing/>
        <w:jc w:val="both"/>
        <w:outlineLvl w:val="0"/>
        <w:rPr>
          <w:rFonts w:ascii="Arial" w:hAnsi="Arial" w:cs="Arial"/>
          <w:bCs/>
        </w:rPr>
      </w:pPr>
      <w:r w:rsidRPr="009C0252">
        <w:rPr>
          <w:rFonts w:ascii="Arial" w:hAnsi="Arial" w:cs="Arial"/>
          <w:bCs/>
        </w:rPr>
        <w:t>Según Memorando AL-050-2019, el Informe de Licitación Pública No. 2018LA-000003-APITCR, “Servicio de Aseo y Limpieza, Sede Central”, y no tiene objeciones y cuenta con el dictamen afirmativo de la Asesoría Legal del ITCR.</w:t>
      </w:r>
    </w:p>
    <w:p w:rsidR="009C0252" w:rsidRPr="009C0252" w:rsidRDefault="009C0252" w:rsidP="009C0252">
      <w:pPr>
        <w:numPr>
          <w:ilvl w:val="0"/>
          <w:numId w:val="26"/>
        </w:numPr>
        <w:tabs>
          <w:tab w:val="center" w:pos="4986"/>
        </w:tabs>
        <w:contextualSpacing/>
        <w:jc w:val="both"/>
        <w:outlineLvl w:val="0"/>
        <w:rPr>
          <w:rFonts w:ascii="Arial" w:hAnsi="Arial" w:cs="Arial"/>
          <w:bCs/>
        </w:rPr>
      </w:pPr>
      <w:r w:rsidRPr="009C0252">
        <w:rPr>
          <w:rFonts w:ascii="Arial" w:hAnsi="Arial" w:cs="Arial"/>
          <w:bCs/>
        </w:rPr>
        <w:t>El pliego de condiciones generales establece que el contrato tendrá un plazo de 1 año, prorrogable por tres periodos iguales hasta un máximo de 4 años.</w:t>
      </w:r>
    </w:p>
    <w:p w:rsidR="009C0252" w:rsidRPr="009C0252" w:rsidRDefault="009C0252" w:rsidP="009C0252">
      <w:pPr>
        <w:tabs>
          <w:tab w:val="left" w:pos="180"/>
          <w:tab w:val="left" w:pos="2520"/>
          <w:tab w:val="left" w:pos="5640"/>
          <w:tab w:val="left" w:pos="5940"/>
        </w:tabs>
        <w:ind w:right="-801"/>
        <w:rPr>
          <w:rFonts w:ascii="Arial" w:eastAsia="SimSun" w:hAnsi="Arial" w:cs="Arial"/>
          <w:b/>
          <w:sz w:val="16"/>
          <w:szCs w:val="16"/>
        </w:rPr>
      </w:pPr>
    </w:p>
    <w:p w:rsidR="009C0252" w:rsidRPr="009C0252" w:rsidRDefault="009C0252" w:rsidP="009C0252">
      <w:pPr>
        <w:autoSpaceDE w:val="0"/>
        <w:autoSpaceDN w:val="0"/>
        <w:adjustRightInd w:val="0"/>
        <w:jc w:val="both"/>
        <w:rPr>
          <w:rFonts w:ascii="Arial" w:hAnsi="Arial" w:cs="Arial"/>
          <w:b/>
          <w:bCs/>
          <w:lang w:val="es-CR" w:eastAsia="es-CR"/>
        </w:rPr>
      </w:pPr>
      <w:r w:rsidRPr="009C0252">
        <w:rPr>
          <w:rFonts w:ascii="Arial" w:hAnsi="Arial" w:cs="Arial"/>
          <w:b/>
          <w:bCs/>
          <w:lang w:val="es-CR" w:eastAsia="es-CR"/>
        </w:rPr>
        <w:t>SE</w:t>
      </w:r>
      <w:r>
        <w:rPr>
          <w:rFonts w:ascii="Arial" w:hAnsi="Arial" w:cs="Arial"/>
          <w:b/>
          <w:bCs/>
          <w:lang w:val="es-CR" w:eastAsia="es-CR"/>
        </w:rPr>
        <w:t xml:space="preserve"> ACUERDA</w:t>
      </w:r>
      <w:r w:rsidRPr="009C0252">
        <w:rPr>
          <w:rFonts w:ascii="Arial" w:hAnsi="Arial" w:cs="Arial"/>
          <w:b/>
          <w:bCs/>
          <w:lang w:val="es-CR" w:eastAsia="es-CR"/>
        </w:rPr>
        <w:t>:</w:t>
      </w:r>
    </w:p>
    <w:p w:rsidR="009C0252" w:rsidRPr="009C0252" w:rsidRDefault="009C0252" w:rsidP="009C0252">
      <w:pPr>
        <w:autoSpaceDE w:val="0"/>
        <w:autoSpaceDN w:val="0"/>
        <w:adjustRightInd w:val="0"/>
        <w:ind w:firstLine="567"/>
        <w:jc w:val="both"/>
        <w:rPr>
          <w:rFonts w:ascii="Arial" w:hAnsi="Arial" w:cs="Arial"/>
          <w:b/>
          <w:bCs/>
          <w:sz w:val="16"/>
          <w:szCs w:val="16"/>
          <w:lang w:val="es-CR" w:eastAsia="es-CR"/>
        </w:rPr>
      </w:pPr>
    </w:p>
    <w:p w:rsidR="009C0252" w:rsidRPr="009C0252" w:rsidRDefault="009C0252" w:rsidP="009C0252">
      <w:pPr>
        <w:numPr>
          <w:ilvl w:val="0"/>
          <w:numId w:val="18"/>
        </w:numPr>
        <w:jc w:val="both"/>
        <w:rPr>
          <w:rFonts w:ascii="Arial" w:eastAsia="SimSun" w:hAnsi="Arial" w:cs="Arial"/>
          <w:bCs/>
          <w:i/>
          <w:iCs/>
          <w:sz w:val="22"/>
          <w:szCs w:val="22"/>
          <w:lang w:val="es-CR"/>
        </w:rPr>
      </w:pPr>
      <w:r w:rsidRPr="009C0252">
        <w:rPr>
          <w:rFonts w:ascii="Arial" w:eastAsia="Calibri" w:hAnsi="Arial" w:cs="Arial"/>
          <w:iCs/>
          <w:lang w:val="es-ES_tradnl"/>
        </w:rPr>
        <w:t xml:space="preserve">Adjudicar </w:t>
      </w:r>
      <w:r w:rsidRPr="009C0252">
        <w:rPr>
          <w:rFonts w:ascii="Arial" w:hAnsi="Arial" w:cs="Arial"/>
          <w:bCs/>
        </w:rPr>
        <w:t xml:space="preserve">la Licitación Pública No. 2018LN-000003-APITCR “Servicio de Aseo y Limpieza del Sede Cartago”, a la Empresa </w:t>
      </w:r>
      <w:r w:rsidRPr="009C0252">
        <w:rPr>
          <w:rFonts w:ascii="Arial" w:hAnsi="Arial" w:cs="Arial"/>
        </w:rPr>
        <w:t xml:space="preserve">Distribuidora y Envasadora de Químicos S.A., Cédula Jurídica 3-101-059070, </w:t>
      </w:r>
      <w:r w:rsidRPr="009C0252">
        <w:rPr>
          <w:rFonts w:ascii="Arial" w:hAnsi="Arial" w:cs="Arial"/>
          <w:bCs/>
        </w:rPr>
        <w:t>por un monto mensual del servicio de ¢</w:t>
      </w:r>
      <w:r w:rsidRPr="009C0252">
        <w:rPr>
          <w:rFonts w:ascii="Arial" w:hAnsi="Arial" w:cs="Arial"/>
          <w:sz w:val="22"/>
          <w:szCs w:val="22"/>
        </w:rPr>
        <w:t>23,593,106,64</w:t>
      </w:r>
      <w:r w:rsidRPr="009C0252">
        <w:rPr>
          <w:rFonts w:ascii="Arial" w:hAnsi="Arial" w:cs="Arial"/>
          <w:bCs/>
        </w:rPr>
        <w:t xml:space="preserve"> (veintitrés millones, quinientos noventa y tres mil ciento seis colones con 64/100), en razón de que la oferta se ajusta a lo solicitado en el Cartel de la Licitación, por el plazo de un año, prorrogable por tres periodos iguales hasta un máximo de 4 años conforme las condiciones definidas.</w:t>
      </w:r>
    </w:p>
    <w:p w:rsidR="009C0252" w:rsidRPr="009C0252" w:rsidRDefault="009C0252" w:rsidP="009C0252">
      <w:pPr>
        <w:jc w:val="both"/>
        <w:rPr>
          <w:rFonts w:ascii="Arial" w:hAnsi="Arial" w:cs="Arial"/>
          <w:bCs/>
          <w:lang w:val="es-CR"/>
        </w:rPr>
      </w:pPr>
    </w:p>
    <w:p w:rsidR="009C0252" w:rsidRPr="009C0252" w:rsidRDefault="009C0252" w:rsidP="009C0252">
      <w:pPr>
        <w:numPr>
          <w:ilvl w:val="0"/>
          <w:numId w:val="18"/>
        </w:numPr>
        <w:jc w:val="both"/>
        <w:rPr>
          <w:rFonts w:ascii="Arial" w:hAnsi="Arial" w:cs="Arial"/>
          <w:bCs/>
          <w:i/>
        </w:rPr>
      </w:pPr>
      <w:r w:rsidRPr="009C0252">
        <w:rPr>
          <w:rFonts w:ascii="Arial" w:hAnsi="Arial" w:cs="Arial"/>
          <w:bCs/>
        </w:rPr>
        <w:lastRenderedPageBreak/>
        <w:t>Contra este acto cabe el recurso de apelación, dentro de los diez días hábiles siguientes a su notificación, ante la Contraloría General de la República, conforme lo establece la Ley de Contratación Administrativa y su Reglamento.</w:t>
      </w:r>
    </w:p>
    <w:p w:rsidR="00AC17F8" w:rsidRPr="00AC17F8" w:rsidRDefault="00AC17F8" w:rsidP="009C0252">
      <w:pPr>
        <w:jc w:val="both"/>
        <w:rPr>
          <w:rFonts w:ascii="Arial" w:hAnsi="Arial" w:cs="Arial"/>
          <w:lang w:val="es-CR"/>
        </w:rPr>
      </w:pPr>
    </w:p>
    <w:p w:rsidR="00215C41" w:rsidRPr="00B8093F" w:rsidRDefault="00BB6A5E" w:rsidP="009C0252">
      <w:pPr>
        <w:numPr>
          <w:ilvl w:val="0"/>
          <w:numId w:val="18"/>
        </w:numPr>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8093F" w:rsidRDefault="00B8093F" w:rsidP="00B8093F">
      <w:pPr>
        <w:jc w:val="both"/>
        <w:rPr>
          <w:rFonts w:ascii="Arial" w:hAnsi="Arial" w:cs="Arial"/>
          <w:b/>
          <w:lang w:val="es-CR"/>
        </w:rPr>
      </w:pPr>
    </w:p>
    <w:p w:rsidR="00885DF1" w:rsidRPr="009C0252" w:rsidRDefault="009C0252" w:rsidP="00102531">
      <w:pPr>
        <w:rPr>
          <w:rFonts w:ascii="Arial" w:eastAsia="Calibri" w:hAnsi="Arial" w:cs="Arial"/>
          <w:b/>
          <w:iCs/>
          <w:sz w:val="22"/>
          <w:szCs w:val="22"/>
        </w:rPr>
      </w:pPr>
      <w:r w:rsidRPr="009C0252">
        <w:rPr>
          <w:rFonts w:ascii="Arial" w:eastAsia="Calibri" w:hAnsi="Arial" w:cs="Arial"/>
          <w:b/>
          <w:iCs/>
          <w:sz w:val="20"/>
          <w:szCs w:val="20"/>
          <w:lang w:val="es-ES_tradnl"/>
        </w:rPr>
        <w:t xml:space="preserve">Palabras clave: Licitación - </w:t>
      </w:r>
      <w:r w:rsidRPr="009C0252">
        <w:rPr>
          <w:rFonts w:ascii="Arial" w:hAnsi="Arial" w:cs="Arial"/>
          <w:b/>
          <w:bCs/>
          <w:sz w:val="20"/>
          <w:szCs w:val="20"/>
        </w:rPr>
        <w:t>N° 2018LN-00003-APITCR – Servicio – Aseo – Limpieza – Campus – Cartago</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1B" w:rsidRDefault="00AD4D1B">
      <w:r>
        <w:separator/>
      </w:r>
    </w:p>
  </w:endnote>
  <w:endnote w:type="continuationSeparator" w:id="0">
    <w:p w:rsidR="00AD4D1B" w:rsidRDefault="00AD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1B" w:rsidRDefault="00AD4D1B">
      <w:r>
        <w:separator/>
      </w:r>
    </w:p>
  </w:footnote>
  <w:footnote w:type="continuationSeparator" w:id="0">
    <w:p w:rsidR="00AD4D1B" w:rsidRDefault="00AD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AA197B">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AA197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197B">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C0252">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758771C"/>
    <w:multiLevelType w:val="hybridMultilevel"/>
    <w:tmpl w:val="6FA8116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0B015CE6"/>
    <w:multiLevelType w:val="hybridMultilevel"/>
    <w:tmpl w:val="39AE3B46"/>
    <w:lvl w:ilvl="0" w:tplc="1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6258A9"/>
    <w:multiLevelType w:val="hybridMultilevel"/>
    <w:tmpl w:val="229AB3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37B5A18"/>
    <w:multiLevelType w:val="hybridMultilevel"/>
    <w:tmpl w:val="74CAF292"/>
    <w:lvl w:ilvl="0" w:tplc="C43CCBF8">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81620D"/>
    <w:multiLevelType w:val="hybridMultilevel"/>
    <w:tmpl w:val="6C06ADBC"/>
    <w:lvl w:ilvl="0" w:tplc="E80EE3CA">
      <w:start w:val="1"/>
      <w:numFmt w:val="decimal"/>
      <w:lvlText w:val="%1."/>
      <w:lvlJc w:val="left"/>
      <w:pPr>
        <w:tabs>
          <w:tab w:val="num" w:pos="360"/>
        </w:tabs>
        <w:ind w:left="360" w:hanging="360"/>
      </w:pPr>
      <w:rPr>
        <w:rFonts w:ascii="Arial" w:hAnsi="Arial" w:hint="default"/>
        <w:b/>
        <w:i w:val="0"/>
        <w:sz w:val="24"/>
      </w:rPr>
    </w:lvl>
    <w:lvl w:ilvl="1" w:tplc="9A400F50">
      <w:start w:val="1"/>
      <w:numFmt w:val="decimal"/>
      <w:lvlText w:val="%2."/>
      <w:lvlJc w:val="left"/>
      <w:pPr>
        <w:tabs>
          <w:tab w:val="num" w:pos="1440"/>
        </w:tabs>
        <w:ind w:left="1440" w:hanging="360"/>
      </w:pPr>
      <w:rPr>
        <w:rFonts w:hint="default"/>
        <w:b/>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42365B0D"/>
    <w:multiLevelType w:val="hybridMultilevel"/>
    <w:tmpl w:val="AC223EA8"/>
    <w:lvl w:ilvl="0" w:tplc="CD327388">
      <w:start w:val="1"/>
      <w:numFmt w:val="decimal"/>
      <w:lvlText w:val="%1."/>
      <w:lvlJc w:val="left"/>
      <w:pPr>
        <w:tabs>
          <w:tab w:val="num" w:pos="720"/>
        </w:tabs>
        <w:ind w:left="720" w:hanging="360"/>
      </w:pPr>
      <w:rPr>
        <w:rFonts w:hint="default"/>
        <w:b/>
        <w:i w:val="0"/>
        <w:sz w:val="20"/>
        <w:szCs w:val="20"/>
      </w:rPr>
    </w:lvl>
    <w:lvl w:ilvl="1" w:tplc="A7DEA250">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005C6A"/>
    <w:multiLevelType w:val="hybridMultilevel"/>
    <w:tmpl w:val="342AB230"/>
    <w:lvl w:ilvl="0" w:tplc="8216E3D6">
      <w:start w:val="1"/>
      <w:numFmt w:val="lowerLetter"/>
      <w:lvlText w:val="%1."/>
      <w:lvlJc w:val="left"/>
      <w:pPr>
        <w:tabs>
          <w:tab w:val="num" w:pos="360"/>
        </w:tabs>
        <w:ind w:left="360" w:hanging="360"/>
      </w:pPr>
      <w:rPr>
        <w:rFonts w:hint="default"/>
        <w:b/>
        <w:i w:val="0"/>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0"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15"/>
  </w:num>
  <w:num w:numId="8">
    <w:abstractNumId w:val="17"/>
  </w:num>
  <w:num w:numId="9">
    <w:abstractNumId w:val="12"/>
  </w:num>
  <w:num w:numId="10">
    <w:abstractNumId w:val="13"/>
  </w:num>
  <w:num w:numId="11">
    <w:abstractNumId w:val="24"/>
  </w:num>
  <w:num w:numId="12">
    <w:abstractNumId w:val="11"/>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21"/>
  </w:num>
  <w:num w:numId="18">
    <w:abstractNumId w:val="18"/>
  </w:num>
  <w:num w:numId="19">
    <w:abstractNumId w:val="19"/>
  </w:num>
  <w:num w:numId="20">
    <w:abstractNumId w:val="20"/>
  </w:num>
  <w:num w:numId="21">
    <w:abstractNumId w:val="22"/>
  </w:num>
  <w:num w:numId="22">
    <w:abstractNumId w:val="14"/>
  </w:num>
  <w:num w:numId="23">
    <w:abstractNumId w:val="5"/>
  </w:num>
  <w:num w:numId="24">
    <w:abstractNumId w:val="16"/>
  </w:num>
  <w:num w:numId="25">
    <w:abstractNumId w:val="3"/>
  </w:num>
  <w:num w:numId="26">
    <w:abstractNumId w:val="9"/>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252"/>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4D1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88A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DA5F-6001-472B-9962-57DDEE4E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Pages>
  <Words>3155</Words>
  <Characters>17357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103</cp:revision>
  <cp:lastPrinted>2019-01-30T20:35:00Z</cp:lastPrinted>
  <dcterms:created xsi:type="dcterms:W3CDTF">2018-05-02T21:37:00Z</dcterms:created>
  <dcterms:modified xsi:type="dcterms:W3CDTF">2019-03-06T20:57:00Z</dcterms:modified>
</cp:coreProperties>
</file>