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ED72F3">
        <w:rPr>
          <w:rFonts w:ascii="Arial" w:hAnsi="Arial" w:cs="Arial"/>
          <w:b/>
          <w:bCs/>
          <w:iCs/>
          <w:sz w:val="26"/>
          <w:szCs w:val="22"/>
          <w:lang w:val="es-CR"/>
        </w:rPr>
        <w:t>302</w:t>
      </w:r>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ED72F3" w:rsidRDefault="00BC4970"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CC7CB5">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r w:rsidR="00CC7CB5">
              <w:rPr>
                <w:rFonts w:ascii="Arial" w:eastAsia="Cambria" w:hAnsi="Arial" w:cs="Arial"/>
                <w:sz w:val="22"/>
                <w:szCs w:val="22"/>
                <w:lang w:val="es-ES_tradnl" w:eastAsia="en-US"/>
              </w:rPr>
              <w:t xml:space="preserve"> </w:t>
            </w:r>
          </w:p>
          <w:p w:rsidR="00ED72F3" w:rsidRDefault="00ED72F3" w:rsidP="00ED72F3">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 Manuel Corrales Umaña, Gerente Área Servicios Sociales</w:t>
            </w:r>
          </w:p>
          <w:p w:rsidR="00ED72F3" w:rsidRDefault="00ED72F3" w:rsidP="00ED72F3">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Contraloría General de la República</w:t>
            </w:r>
          </w:p>
          <w:p w:rsidR="00ED72F3" w:rsidRDefault="00ED72F3" w:rsidP="00ED72F3">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Humberto Villalta Solano, Vicerrector de Administración</w:t>
            </w:r>
          </w:p>
          <w:p w:rsidR="00ED72F3" w:rsidRDefault="00ED72F3" w:rsidP="00ED72F3">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Ing. Luis Paulino Méndez Badilla, Vicerrector de Docencia </w:t>
            </w:r>
          </w:p>
          <w:p w:rsidR="00ED72F3" w:rsidRDefault="00ED72F3" w:rsidP="00ED72F3">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 Alexander Berrocal Jiménez, Vicerrector de Investigación y Extensión </w:t>
            </w:r>
          </w:p>
          <w:p w:rsidR="00ED72F3" w:rsidRDefault="00ED72F3" w:rsidP="00ED72F3">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Dra. Claudia Madrizova </w:t>
            </w:r>
            <w:proofErr w:type="spellStart"/>
            <w:r>
              <w:rPr>
                <w:rFonts w:ascii="Arial" w:eastAsia="Cambria" w:hAnsi="Arial" w:cs="Arial"/>
                <w:sz w:val="22"/>
                <w:szCs w:val="22"/>
                <w:lang w:val="es-ES_tradnl" w:eastAsia="en-US"/>
              </w:rPr>
              <w:t>Madrizova</w:t>
            </w:r>
            <w:proofErr w:type="spellEnd"/>
            <w:r>
              <w:rPr>
                <w:rFonts w:ascii="Arial" w:eastAsia="Cambria" w:hAnsi="Arial" w:cs="Arial"/>
                <w:sz w:val="22"/>
                <w:szCs w:val="22"/>
                <w:lang w:val="es-ES_tradnl" w:eastAsia="en-US"/>
              </w:rPr>
              <w:t xml:space="preserve">, Vicerrectora de Vida Estudiantil y Servicios Académicos </w:t>
            </w:r>
          </w:p>
          <w:p w:rsidR="00ED72F3" w:rsidRDefault="00ED72F3" w:rsidP="00ED72F3">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Oscar López Villegas, Director Campus Tecnológico Local San Carlos</w:t>
            </w:r>
          </w:p>
          <w:p w:rsidR="00ED72F3" w:rsidRDefault="00ED72F3" w:rsidP="00ED72F3">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Ronald Bonilla Rodríguez, Director Campus Tecnológico Local San José</w:t>
            </w:r>
          </w:p>
          <w:p w:rsidR="00ED72F3" w:rsidRDefault="00ED72F3" w:rsidP="00ED72F3">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Roxana Jiménez Rodríguez, Directora Centro Académico de Limón</w:t>
            </w:r>
          </w:p>
          <w:p w:rsidR="00ED72F3" w:rsidRDefault="00ED72F3" w:rsidP="00ED72F3">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Roberto Pereira Arroyo, Director Centro Académico de Alajuela</w:t>
            </w:r>
          </w:p>
          <w:p w:rsidR="00791806" w:rsidRDefault="00791806" w:rsidP="00ED72F3">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Financiero-Contable</w:t>
            </w:r>
          </w:p>
          <w:p w:rsidR="00ED72F3" w:rsidRDefault="00ED72F3" w:rsidP="00ED72F3">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8D5D01" w:rsidRPr="00F548D2" w:rsidRDefault="008D5D01" w:rsidP="00BD38AF">
            <w:pPr>
              <w:jc w:val="both"/>
              <w:rPr>
                <w:rFonts w:ascii="Arial" w:eastAsia="Cambria" w:hAnsi="Arial" w:cs="Arial"/>
                <w:sz w:val="22"/>
                <w:szCs w:val="22"/>
                <w:lang w:val="es-ES_tradnl" w:eastAsia="en-US"/>
              </w:rPr>
            </w:pPr>
            <w:bookmarkStart w:id="0" w:name="_GoBack"/>
            <w:bookmarkEnd w:id="0"/>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BD38AF"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r w:rsidR="00D66ACE">
              <w:rPr>
                <w:rFonts w:ascii="Arial" w:eastAsia="Cambria" w:hAnsi="Arial" w:cs="Arial"/>
                <w:sz w:val="22"/>
                <w:szCs w:val="22"/>
                <w:lang w:val="es-ES_tradnl" w:eastAsia="en-US"/>
              </w:rPr>
              <w:t xml:space="preserve"> </w:t>
            </w:r>
          </w:p>
          <w:p w:rsidR="007742A1" w:rsidRPr="008E0D8C" w:rsidRDefault="00BD38AF"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BD38AF"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24</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5A7222">
              <w:rPr>
                <w:rFonts w:ascii="Arial" w:eastAsia="Cambria" w:hAnsi="Arial" w:cs="Arial"/>
                <w:b/>
                <w:sz w:val="22"/>
                <w:szCs w:val="22"/>
                <w:lang w:val="es-ES_tradnl" w:eastAsia="en-US"/>
              </w:rPr>
              <w:t>abril</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7C12C6" w:rsidRDefault="00FF209C" w:rsidP="00BD38AF">
            <w:pPr>
              <w:ind w:left="30" w:hanging="30"/>
              <w:jc w:val="both"/>
              <w:rPr>
                <w:rFonts w:ascii="Arial" w:hAnsi="Arial" w:cs="Arial"/>
                <w:b/>
                <w:lang w:val="es-ES_tradnl" w:eastAsia="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w:t>
            </w:r>
            <w:r w:rsidR="001E3F3C">
              <w:rPr>
                <w:rFonts w:ascii="Arial" w:eastAsia="Calibri" w:hAnsi="Arial" w:cs="Arial"/>
                <w:b/>
                <w:sz w:val="22"/>
                <w:szCs w:val="22"/>
              </w:rPr>
              <w:t>1</w:t>
            </w:r>
            <w:r w:rsidR="00BD38AF">
              <w:rPr>
                <w:rFonts w:ascii="Arial" w:eastAsia="Calibri" w:hAnsi="Arial" w:cs="Arial"/>
                <w:b/>
                <w:sz w:val="22"/>
                <w:szCs w:val="22"/>
              </w:rPr>
              <w:t>4</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5A7222">
              <w:rPr>
                <w:rFonts w:ascii="Arial" w:eastAsia="Calibri" w:hAnsi="Arial" w:cs="Arial"/>
                <w:b/>
                <w:sz w:val="22"/>
                <w:szCs w:val="22"/>
              </w:rPr>
              <w:t>9</w:t>
            </w:r>
            <w:r w:rsidR="007742A1" w:rsidRPr="008F0835">
              <w:rPr>
                <w:rFonts w:ascii="Arial" w:eastAsia="Calibri" w:hAnsi="Arial" w:cs="Arial"/>
                <w:b/>
                <w:sz w:val="22"/>
                <w:szCs w:val="22"/>
              </w:rPr>
              <w:t xml:space="preserve"> del </w:t>
            </w:r>
            <w:r w:rsidR="00BD38AF">
              <w:rPr>
                <w:rFonts w:ascii="Arial" w:eastAsia="Calibri" w:hAnsi="Arial" w:cs="Arial"/>
                <w:b/>
                <w:sz w:val="22"/>
                <w:szCs w:val="22"/>
              </w:rPr>
              <w:t>24</w:t>
            </w:r>
            <w:r w:rsidR="005A7222">
              <w:rPr>
                <w:rFonts w:ascii="Arial" w:eastAsia="Calibri" w:hAnsi="Arial" w:cs="Arial"/>
                <w:b/>
                <w:sz w:val="22"/>
                <w:szCs w:val="22"/>
              </w:rPr>
              <w:t xml:space="preserve"> de abril </w:t>
            </w:r>
            <w:r w:rsidR="00A772EF" w:rsidRPr="008F0835">
              <w:rPr>
                <w:rFonts w:ascii="Arial" w:eastAsia="Calibri" w:hAnsi="Arial" w:cs="Arial"/>
                <w:b/>
                <w:sz w:val="22"/>
                <w:szCs w:val="22"/>
              </w:rPr>
              <w:t>de 201</w:t>
            </w:r>
            <w:r w:rsidR="00AA61D4">
              <w:rPr>
                <w:rFonts w:ascii="Arial" w:eastAsia="Calibri" w:hAnsi="Arial" w:cs="Arial"/>
                <w:b/>
                <w:sz w:val="22"/>
                <w:szCs w:val="22"/>
              </w:rPr>
              <w:t>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BD38AF" w:rsidRPr="00BD38AF">
              <w:rPr>
                <w:rFonts w:ascii="Arial" w:hAnsi="Arial" w:cs="Arial"/>
                <w:b/>
                <w:bCs/>
                <w:sz w:val="22"/>
                <w:szCs w:val="22"/>
              </w:rPr>
              <w:t>Informe Ejecución Presupuestaria al 31 de marzo de 2019</w:t>
            </w:r>
          </w:p>
        </w:tc>
      </w:tr>
    </w:tbl>
    <w:p w:rsidR="00FF209C" w:rsidRDefault="00FF209C" w:rsidP="007742A1">
      <w:pPr>
        <w:jc w:val="both"/>
        <w:rPr>
          <w:rFonts w:ascii="Arial" w:eastAsia="Cambria" w:hAnsi="Arial" w:cs="Arial"/>
          <w:lang w:val="es-ES_tradnl" w:eastAsia="en-US"/>
        </w:rPr>
      </w:pPr>
    </w:p>
    <w:p w:rsidR="00ED72F3" w:rsidRDefault="00ED72F3"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A000F6" w:rsidRDefault="00A000F6" w:rsidP="007742A1">
      <w:pPr>
        <w:jc w:val="both"/>
        <w:rPr>
          <w:rFonts w:ascii="Arial" w:eastAsia="Cambria" w:hAnsi="Arial" w:cs="Arial"/>
          <w:lang w:val="es-ES_tradnl" w:eastAsia="en-US"/>
        </w:rPr>
      </w:pPr>
    </w:p>
    <w:p w:rsidR="00ED72F3" w:rsidRPr="00ED72F3" w:rsidRDefault="00ED72F3" w:rsidP="00ED72F3">
      <w:pPr>
        <w:tabs>
          <w:tab w:val="left" w:pos="3070"/>
        </w:tabs>
        <w:contextualSpacing/>
        <w:jc w:val="both"/>
        <w:outlineLvl w:val="0"/>
        <w:rPr>
          <w:rFonts w:ascii="Arial" w:hAnsi="Arial" w:cs="Arial"/>
          <w:b/>
          <w:lang w:val="es-CR"/>
        </w:rPr>
      </w:pPr>
      <w:r w:rsidRPr="00ED72F3">
        <w:rPr>
          <w:rFonts w:ascii="Arial" w:hAnsi="Arial" w:cs="Arial"/>
          <w:b/>
          <w:lang w:val="es-CR"/>
        </w:rPr>
        <w:t>RESULTANDO QUE:</w:t>
      </w:r>
    </w:p>
    <w:p w:rsidR="00ED72F3" w:rsidRPr="00ED72F3" w:rsidRDefault="00ED72F3" w:rsidP="00ED72F3">
      <w:pPr>
        <w:jc w:val="both"/>
        <w:rPr>
          <w:rFonts w:ascii="Arial" w:hAnsi="Arial" w:cs="Arial"/>
          <w:lang w:val="es-CR"/>
        </w:rPr>
      </w:pPr>
    </w:p>
    <w:p w:rsidR="00ED72F3" w:rsidRPr="00ED72F3" w:rsidRDefault="00ED72F3" w:rsidP="00ED72F3">
      <w:pPr>
        <w:numPr>
          <w:ilvl w:val="0"/>
          <w:numId w:val="14"/>
        </w:numPr>
        <w:ind w:left="360"/>
        <w:jc w:val="both"/>
        <w:rPr>
          <w:rFonts w:ascii="Arial" w:hAnsi="Arial" w:cs="Arial"/>
          <w:lang w:val="es-CR"/>
        </w:rPr>
      </w:pPr>
      <w:r w:rsidRPr="00ED72F3">
        <w:rPr>
          <w:rFonts w:ascii="Arial" w:hAnsi="Arial" w:cs="Arial"/>
          <w:lang w:val="es-CR"/>
        </w:rPr>
        <w:t>El inciso b) del Artículo 18, del Estatuto Orgánico, establece:</w:t>
      </w:r>
    </w:p>
    <w:p w:rsidR="00ED72F3" w:rsidRPr="00ED72F3" w:rsidRDefault="00ED72F3" w:rsidP="00ED72F3">
      <w:pPr>
        <w:ind w:left="709" w:right="284"/>
        <w:contextualSpacing/>
        <w:jc w:val="both"/>
        <w:rPr>
          <w:rFonts w:ascii="Arial" w:eastAsia="Calibri" w:hAnsi="Arial" w:cs="Arial"/>
          <w:bCs/>
          <w:i/>
          <w:sz w:val="22"/>
          <w:szCs w:val="22"/>
          <w:lang w:val="es-CR"/>
        </w:rPr>
      </w:pPr>
    </w:p>
    <w:p w:rsidR="00ED72F3" w:rsidRPr="00ED72F3" w:rsidRDefault="00ED72F3" w:rsidP="00ED72F3">
      <w:pPr>
        <w:ind w:left="709" w:right="284"/>
        <w:contextualSpacing/>
        <w:jc w:val="both"/>
        <w:rPr>
          <w:rFonts w:ascii="Arial" w:eastAsia="Calibri" w:hAnsi="Arial" w:cs="Arial"/>
          <w:bCs/>
          <w:i/>
          <w:sz w:val="22"/>
          <w:szCs w:val="22"/>
          <w:lang w:val="es-CR"/>
        </w:rPr>
      </w:pPr>
      <w:r w:rsidRPr="00ED72F3">
        <w:rPr>
          <w:rFonts w:ascii="Arial" w:eastAsia="Calibri" w:hAnsi="Arial" w:cs="Arial"/>
          <w:bCs/>
          <w:i/>
          <w:sz w:val="22"/>
          <w:szCs w:val="22"/>
          <w:lang w:val="es-CR"/>
        </w:rPr>
        <w:t>“Son funciones del Consejo Institucional:</w:t>
      </w:r>
    </w:p>
    <w:p w:rsidR="00ED72F3" w:rsidRPr="00ED72F3" w:rsidRDefault="00ED72F3" w:rsidP="00ED72F3">
      <w:pPr>
        <w:ind w:left="709" w:right="284"/>
        <w:contextualSpacing/>
        <w:jc w:val="both"/>
        <w:rPr>
          <w:rFonts w:ascii="Arial" w:eastAsia="Calibri" w:hAnsi="Arial" w:cs="Arial"/>
          <w:bCs/>
          <w:i/>
          <w:sz w:val="22"/>
          <w:szCs w:val="22"/>
          <w:lang w:val="es-CR"/>
        </w:rPr>
      </w:pPr>
    </w:p>
    <w:p w:rsidR="00ED72F3" w:rsidRPr="00ED72F3" w:rsidRDefault="00ED72F3" w:rsidP="00ED72F3">
      <w:pPr>
        <w:ind w:left="810" w:right="992"/>
        <w:contextualSpacing/>
        <w:jc w:val="both"/>
        <w:rPr>
          <w:rFonts w:ascii="Arial" w:hAnsi="Arial" w:cs="Arial"/>
          <w:bCs/>
          <w:i/>
          <w:sz w:val="22"/>
          <w:szCs w:val="22"/>
          <w:lang w:val="es-CR"/>
        </w:rPr>
      </w:pPr>
      <w:r w:rsidRPr="00ED72F3">
        <w:rPr>
          <w:rFonts w:ascii="Arial" w:hAnsi="Arial" w:cs="Arial"/>
          <w:bCs/>
          <w:i/>
          <w:sz w:val="22"/>
          <w:szCs w:val="22"/>
          <w:lang w:val="es-CR"/>
        </w:rPr>
        <w:t>…</w:t>
      </w:r>
    </w:p>
    <w:p w:rsidR="00ED72F3" w:rsidRPr="00ED72F3" w:rsidRDefault="00ED72F3" w:rsidP="00ED72F3">
      <w:pPr>
        <w:ind w:left="810" w:right="992"/>
        <w:contextualSpacing/>
        <w:jc w:val="both"/>
        <w:rPr>
          <w:rFonts w:ascii="Arial" w:hAnsi="Arial" w:cs="Arial"/>
          <w:bCs/>
          <w:i/>
          <w:sz w:val="22"/>
          <w:szCs w:val="22"/>
          <w:lang w:val="es-CR"/>
        </w:rPr>
      </w:pPr>
    </w:p>
    <w:p w:rsidR="00ED72F3" w:rsidRPr="00ED72F3" w:rsidRDefault="00ED72F3" w:rsidP="00ED72F3">
      <w:pPr>
        <w:ind w:left="993" w:right="992" w:hanging="273"/>
        <w:contextualSpacing/>
        <w:jc w:val="both"/>
        <w:rPr>
          <w:rFonts w:ascii="Arial" w:eastAsia="Calibri" w:hAnsi="Arial" w:cs="Arial"/>
          <w:bCs/>
          <w:i/>
          <w:sz w:val="22"/>
          <w:szCs w:val="22"/>
          <w:lang w:val="es-CR"/>
        </w:rPr>
      </w:pPr>
      <w:r w:rsidRPr="00ED72F3">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ED72F3" w:rsidRPr="00ED72F3" w:rsidRDefault="00ED72F3" w:rsidP="00ED72F3">
      <w:pPr>
        <w:jc w:val="both"/>
        <w:rPr>
          <w:rFonts w:ascii="Arial" w:hAnsi="Arial" w:cs="Arial"/>
          <w:lang w:val="es-CR"/>
        </w:rPr>
      </w:pPr>
    </w:p>
    <w:p w:rsidR="00ED72F3" w:rsidRPr="00ED72F3" w:rsidRDefault="00ED72F3" w:rsidP="00ED72F3">
      <w:pPr>
        <w:numPr>
          <w:ilvl w:val="0"/>
          <w:numId w:val="14"/>
        </w:numPr>
        <w:ind w:left="360"/>
        <w:jc w:val="both"/>
        <w:rPr>
          <w:rFonts w:ascii="Arial" w:hAnsi="Arial" w:cs="Arial"/>
          <w:lang w:val="es-CR"/>
        </w:rPr>
      </w:pPr>
      <w:r w:rsidRPr="00ED72F3">
        <w:rPr>
          <w:rFonts w:ascii="Arial" w:hAnsi="Arial" w:cs="Arial"/>
          <w:lang w:val="es-CR"/>
        </w:rPr>
        <w:t>Las Normas Técnicas sobre el Presupuesto Público, disponen: “4.3.14 Suministro de la información de la Ejecución Presupuestaria al Órgano Contralor”</w:t>
      </w:r>
      <w:proofErr w:type="gramStart"/>
      <w:r w:rsidRPr="00ED72F3">
        <w:rPr>
          <w:rFonts w:ascii="Arial" w:hAnsi="Arial" w:cs="Arial"/>
          <w:lang w:val="es-CR"/>
        </w:rPr>
        <w:t xml:space="preserve">:  </w:t>
      </w:r>
      <w:r w:rsidRPr="00ED72F3">
        <w:rPr>
          <w:rFonts w:ascii="Arial" w:hAnsi="Arial" w:cs="Arial"/>
          <w:i/>
          <w:sz w:val="22"/>
          <w:szCs w:val="22"/>
          <w:lang w:val="es-CR"/>
        </w:rPr>
        <w:t>“</w:t>
      </w:r>
      <w:proofErr w:type="gramEnd"/>
      <w:r w:rsidRPr="00ED72F3">
        <w:rPr>
          <w:rFonts w:ascii="Arial" w:hAnsi="Arial" w:cs="Arial"/>
          <w:i/>
          <w:sz w:val="22"/>
          <w:szCs w:val="22"/>
          <w:lang w:val="es-CR"/>
        </w:rPr>
        <w:t>La información de la ejecución de las cuentas del presupuesto deberá suministrarse con corte a cada trimestre del año a la Contraloría General de la República para el ejercicio de sus competencias, dentro de los 15 días hábiles posteriores al vencimiento de cada trimestre…”</w:t>
      </w:r>
    </w:p>
    <w:p w:rsidR="00ED72F3" w:rsidRPr="00ED72F3" w:rsidRDefault="00ED72F3" w:rsidP="00ED72F3">
      <w:pPr>
        <w:ind w:left="360"/>
        <w:jc w:val="both"/>
        <w:rPr>
          <w:rFonts w:ascii="Arial" w:hAnsi="Arial" w:cs="Arial"/>
          <w:lang w:val="es-CR"/>
        </w:rPr>
      </w:pPr>
    </w:p>
    <w:p w:rsidR="00ED72F3" w:rsidRPr="00ED72F3" w:rsidRDefault="00ED72F3" w:rsidP="00ED72F3">
      <w:pPr>
        <w:numPr>
          <w:ilvl w:val="0"/>
          <w:numId w:val="14"/>
        </w:numPr>
        <w:ind w:left="360"/>
        <w:jc w:val="both"/>
        <w:rPr>
          <w:rFonts w:ascii="Arial" w:hAnsi="Arial" w:cs="Arial"/>
          <w:lang w:val="es-CR"/>
        </w:rPr>
      </w:pPr>
      <w:r w:rsidRPr="00ED72F3">
        <w:rPr>
          <w:rFonts w:ascii="Arial" w:hAnsi="Arial" w:cs="Arial"/>
          <w:lang w:val="es-CR"/>
        </w:rPr>
        <w:lastRenderedPageBreak/>
        <w:t>La Secretaría del Consejo Institucional recibe oficio R-390-2019, con fecha de recibido 04 de abril de 2019, suscrito por el Dr.  Julio C.  Calvo Alvarado, Rector, dirigido al MAE. Nelson Ortega Jiménez, Coordinador de la Comisión de Planificación y Administración, en el cual informa que, con el fin de cumplir con las normas establecidas por la Contraloría General de la República, el Informe de Ejecución Presupuestaria al 31 de marzo de 2019, se debe remitir a más tardar el 24 de abril, por lo que agradece tomar las previsiones correspondientes para que el mismo sea conocido en el pleno del Consejo Institucional en la sesión del 23 de abril del presente año.  Además, informa que el Consejo de Rectoría conocerá el tema en la Sesión del lunes 8 de abril y posteriormente lo remitirá a la Comisión de Planificación y Administración.</w:t>
      </w:r>
    </w:p>
    <w:p w:rsidR="00ED72F3" w:rsidRPr="00ED72F3" w:rsidRDefault="00ED72F3" w:rsidP="00ED72F3">
      <w:pPr>
        <w:ind w:left="708"/>
        <w:rPr>
          <w:rFonts w:ascii="Arial" w:hAnsi="Arial" w:cs="Arial"/>
          <w:lang w:val="es-CR"/>
        </w:rPr>
      </w:pPr>
    </w:p>
    <w:p w:rsidR="00ED72F3" w:rsidRPr="00ED72F3" w:rsidRDefault="00ED72F3" w:rsidP="00ED72F3">
      <w:pPr>
        <w:numPr>
          <w:ilvl w:val="0"/>
          <w:numId w:val="14"/>
        </w:numPr>
        <w:ind w:left="360"/>
        <w:jc w:val="both"/>
        <w:rPr>
          <w:rFonts w:ascii="Arial" w:hAnsi="Arial" w:cs="Arial"/>
          <w:lang w:val="es-CR"/>
        </w:rPr>
      </w:pPr>
      <w:r w:rsidRPr="00ED72F3">
        <w:rPr>
          <w:rFonts w:ascii="Arial" w:hAnsi="Arial" w:cs="Arial"/>
          <w:lang w:val="es-CR"/>
        </w:rPr>
        <w:t>La Secretaría del Consejo Institucional recibe oficio R-400-2019, con fecha de recibido 08 de abril de 2019, suscrito por el Dr.  Julio C.  Calvo Alvarado, Rector, dirigido al MAE. Nelson Ortega Jiménez, Coordinador de la Comisión de Planificación y Administración, en el cual remite Informe de Ejecución Presupuestaria al 31 de marzo de 2019, conocido y avalado por el Consejo de Rectoría en la Sesión No. 11-2019, Artículo 2, del lunes 8 de abril 2019.</w:t>
      </w:r>
    </w:p>
    <w:p w:rsidR="00ED72F3" w:rsidRPr="00ED72F3" w:rsidRDefault="00ED72F3" w:rsidP="00ED72F3">
      <w:pPr>
        <w:tabs>
          <w:tab w:val="left" w:pos="3070"/>
        </w:tabs>
        <w:contextualSpacing/>
        <w:jc w:val="both"/>
        <w:outlineLvl w:val="0"/>
        <w:rPr>
          <w:rFonts w:ascii="Arial" w:hAnsi="Arial" w:cs="Arial"/>
          <w:b/>
          <w:sz w:val="20"/>
          <w:szCs w:val="20"/>
          <w:lang w:val="es-CR"/>
        </w:rPr>
      </w:pPr>
    </w:p>
    <w:p w:rsidR="00ED72F3" w:rsidRPr="00ED72F3" w:rsidRDefault="00ED72F3" w:rsidP="00ED72F3">
      <w:pPr>
        <w:tabs>
          <w:tab w:val="left" w:pos="3070"/>
        </w:tabs>
        <w:contextualSpacing/>
        <w:jc w:val="both"/>
        <w:outlineLvl w:val="0"/>
        <w:rPr>
          <w:rFonts w:ascii="Arial" w:hAnsi="Arial" w:cs="Arial"/>
          <w:b/>
          <w:lang w:val="es-CR"/>
        </w:rPr>
      </w:pPr>
      <w:r w:rsidRPr="00ED72F3">
        <w:rPr>
          <w:rFonts w:ascii="Arial" w:hAnsi="Arial" w:cs="Arial"/>
          <w:b/>
          <w:lang w:val="es-CR"/>
        </w:rPr>
        <w:t>CONSIDERANDO QUE:</w:t>
      </w:r>
    </w:p>
    <w:p w:rsidR="00ED72F3" w:rsidRPr="00ED72F3" w:rsidRDefault="00ED72F3" w:rsidP="00ED72F3">
      <w:pPr>
        <w:ind w:right="-91"/>
        <w:jc w:val="both"/>
        <w:rPr>
          <w:rFonts w:ascii="Arial" w:hAnsi="Arial" w:cs="Arial"/>
          <w:lang w:val="es-CR"/>
        </w:rPr>
      </w:pPr>
    </w:p>
    <w:p w:rsidR="00ED72F3" w:rsidRPr="00ED72F3" w:rsidRDefault="00ED72F3" w:rsidP="00ED72F3">
      <w:pPr>
        <w:numPr>
          <w:ilvl w:val="0"/>
          <w:numId w:val="15"/>
        </w:numPr>
        <w:ind w:left="426" w:right="-91" w:hanging="426"/>
        <w:jc w:val="both"/>
        <w:rPr>
          <w:rFonts w:ascii="Arial" w:hAnsi="Arial" w:cs="Arial"/>
          <w:lang w:val="es-CR"/>
        </w:rPr>
      </w:pPr>
      <w:r w:rsidRPr="00ED72F3">
        <w:rPr>
          <w:rFonts w:ascii="Arial" w:hAnsi="Arial" w:cs="Arial"/>
          <w:lang w:val="es-CR"/>
        </w:rPr>
        <w:t xml:space="preserve">La Comisión de Planificación y Administración en Reunión No. 814-2019, celebrada el 10 de abril de 2019, recibe al Dr. Humberto Villalta Solano, Vicerrector de Administración, quien expone el Informe de Ejecución Presupuestaria al 31 de marzo de 2019.  </w:t>
      </w:r>
    </w:p>
    <w:p w:rsidR="00ED72F3" w:rsidRPr="00ED72F3" w:rsidRDefault="00ED72F3" w:rsidP="00ED72F3">
      <w:pPr>
        <w:ind w:left="426" w:right="-91"/>
        <w:jc w:val="both"/>
        <w:rPr>
          <w:rFonts w:ascii="Arial" w:hAnsi="Arial" w:cs="Arial"/>
          <w:sz w:val="22"/>
          <w:szCs w:val="22"/>
          <w:lang w:val="es-CR"/>
        </w:rPr>
      </w:pPr>
    </w:p>
    <w:p w:rsidR="00ED72F3" w:rsidRPr="00ED72F3" w:rsidRDefault="00ED72F3" w:rsidP="00ED72F3">
      <w:pPr>
        <w:numPr>
          <w:ilvl w:val="0"/>
          <w:numId w:val="15"/>
        </w:numPr>
        <w:ind w:left="426" w:right="-91" w:hanging="426"/>
        <w:jc w:val="both"/>
        <w:rPr>
          <w:rFonts w:ascii="Arial" w:hAnsi="Arial" w:cs="Arial"/>
          <w:sz w:val="20"/>
          <w:szCs w:val="20"/>
          <w:lang w:val="es-CR"/>
        </w:rPr>
      </w:pPr>
      <w:r w:rsidRPr="00ED72F3">
        <w:rPr>
          <w:rFonts w:ascii="Arial" w:hAnsi="Arial" w:cs="Arial"/>
          <w:lang w:val="es-CR"/>
        </w:rPr>
        <w:t>En esta reunión se discute el documento, los integrantes de la Comisión realizan las observaciones y aclaradas las dudas, del análisis del informe recibido se concluye lo siguiente:</w:t>
      </w:r>
    </w:p>
    <w:p w:rsidR="00ED72F3" w:rsidRPr="00ED72F3" w:rsidRDefault="00ED72F3" w:rsidP="00ED72F3">
      <w:pPr>
        <w:ind w:left="426" w:right="-91"/>
        <w:jc w:val="both"/>
        <w:rPr>
          <w:rFonts w:ascii="Arial" w:hAnsi="Arial" w:cs="Arial"/>
          <w:sz w:val="22"/>
          <w:szCs w:val="22"/>
          <w:lang w:val="es-CR"/>
        </w:rPr>
      </w:pP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t>El nivel de ingresos del I Trimestre 2019 alcanzó un 37% del total de ingresos presupuestados.</w:t>
      </w: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t>Se refleja una disminución con respecto al nivel de los ingresos para el I Trimestre 2018, justificada en la disminución del FEES y el Superávit.</w:t>
      </w: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t>El nivel de ingresos corrientes del período analizado alcanzó un 31% del total.</w:t>
      </w: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t>La ejecución de egresos del I Trimestre 2019 alcanzó el 26% del total.</w:t>
      </w: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t xml:space="preserve">Se obtiene una disminución en el porcentaje de ejecución al compararlo con el mismo periodo del año 2018, esta disminución obedece a una menor ejecución en Bienes Duraderos y Transferencias Corrientes. </w:t>
      </w: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t>Al considerar los pre-compromisos, el nivel de ejecución de los egresos aumenta al 30%.</w:t>
      </w: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t xml:space="preserve">El Programa No. 4. Investigación y Extensión refleja un aumento en la ejecución de los egresos, </w:t>
      </w:r>
      <w:r w:rsidRPr="00ED72F3">
        <w:rPr>
          <w:rFonts w:ascii="Arial" w:hAnsi="Arial" w:cs="Arial"/>
          <w:lang w:val="es-ES_tradnl" w:eastAsia="es-CR"/>
        </w:rPr>
        <w:t>¢</w:t>
      </w:r>
      <w:r w:rsidRPr="00ED72F3">
        <w:rPr>
          <w:rFonts w:ascii="Arial" w:hAnsi="Arial" w:cs="Arial"/>
          <w:lang w:val="es-CR"/>
        </w:rPr>
        <w:t>77.722 miles de colones, este efecto lo produce la Partida de Remuneraciones.</w:t>
      </w: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t>El análisis por partida presupuestaria evidencia los siguientes resultados, al compararlos con el mismo periodo del 2018:</w:t>
      </w:r>
    </w:p>
    <w:p w:rsidR="00ED72F3" w:rsidRPr="00ED72F3" w:rsidRDefault="00ED72F3" w:rsidP="00ED72F3">
      <w:pPr>
        <w:numPr>
          <w:ilvl w:val="2"/>
          <w:numId w:val="15"/>
        </w:numPr>
        <w:ind w:left="1418" w:right="-91" w:hanging="284"/>
        <w:jc w:val="both"/>
        <w:rPr>
          <w:rFonts w:ascii="Arial" w:hAnsi="Arial" w:cs="Arial"/>
          <w:lang w:val="es-CR"/>
        </w:rPr>
      </w:pPr>
      <w:r w:rsidRPr="00ED72F3">
        <w:rPr>
          <w:rFonts w:ascii="Arial" w:hAnsi="Arial" w:cs="Arial"/>
          <w:lang w:val="es-CR"/>
        </w:rPr>
        <w:t>Remuneraciones refleja un incremento de un 1,8%.</w:t>
      </w:r>
    </w:p>
    <w:p w:rsidR="00ED72F3" w:rsidRPr="00ED72F3" w:rsidRDefault="00ED72F3" w:rsidP="00ED72F3">
      <w:pPr>
        <w:numPr>
          <w:ilvl w:val="2"/>
          <w:numId w:val="15"/>
        </w:numPr>
        <w:ind w:left="1418" w:right="-91" w:hanging="284"/>
        <w:jc w:val="both"/>
        <w:rPr>
          <w:rFonts w:ascii="Arial" w:hAnsi="Arial" w:cs="Arial"/>
          <w:lang w:val="es-CR"/>
        </w:rPr>
      </w:pPr>
      <w:r w:rsidRPr="00ED72F3">
        <w:rPr>
          <w:rFonts w:ascii="Arial" w:hAnsi="Arial" w:cs="Arial"/>
          <w:lang w:val="es-CR"/>
        </w:rPr>
        <w:t>Servicios muestra una disminución de un 15,2%.</w:t>
      </w:r>
    </w:p>
    <w:p w:rsidR="00ED72F3" w:rsidRPr="00ED72F3" w:rsidRDefault="00ED72F3" w:rsidP="00ED72F3">
      <w:pPr>
        <w:numPr>
          <w:ilvl w:val="2"/>
          <w:numId w:val="15"/>
        </w:numPr>
        <w:ind w:left="1418" w:right="-91" w:hanging="284"/>
        <w:jc w:val="both"/>
        <w:rPr>
          <w:rFonts w:ascii="Arial" w:hAnsi="Arial" w:cs="Arial"/>
          <w:lang w:val="es-CR"/>
        </w:rPr>
      </w:pPr>
      <w:r w:rsidRPr="00ED72F3">
        <w:rPr>
          <w:rFonts w:ascii="Arial" w:hAnsi="Arial" w:cs="Arial"/>
          <w:lang w:val="es-CR"/>
        </w:rPr>
        <w:t>Materiales y Suministros presenta una disminución de un 7,3%.</w:t>
      </w:r>
    </w:p>
    <w:p w:rsidR="00ED72F3" w:rsidRPr="00ED72F3" w:rsidRDefault="00ED72F3" w:rsidP="00ED72F3">
      <w:pPr>
        <w:numPr>
          <w:ilvl w:val="2"/>
          <w:numId w:val="15"/>
        </w:numPr>
        <w:ind w:left="1418" w:right="-91" w:hanging="284"/>
        <w:jc w:val="both"/>
        <w:rPr>
          <w:rFonts w:ascii="Arial" w:hAnsi="Arial" w:cs="Arial"/>
          <w:lang w:val="es-CR"/>
        </w:rPr>
      </w:pPr>
      <w:r w:rsidRPr="00ED72F3">
        <w:rPr>
          <w:rFonts w:ascii="Arial" w:hAnsi="Arial" w:cs="Arial"/>
          <w:lang w:val="es-CR"/>
        </w:rPr>
        <w:t>Bienes Duraderos disminuyó un 61,3%</w:t>
      </w:r>
    </w:p>
    <w:p w:rsidR="00ED72F3" w:rsidRPr="00ED72F3" w:rsidRDefault="00ED72F3" w:rsidP="00ED72F3">
      <w:pPr>
        <w:numPr>
          <w:ilvl w:val="1"/>
          <w:numId w:val="15"/>
        </w:numPr>
        <w:ind w:left="851" w:right="-91"/>
        <w:jc w:val="both"/>
        <w:rPr>
          <w:rFonts w:ascii="Arial" w:hAnsi="Arial" w:cs="Arial"/>
          <w:lang w:val="es-CR"/>
        </w:rPr>
      </w:pPr>
      <w:r w:rsidRPr="00ED72F3">
        <w:rPr>
          <w:rFonts w:ascii="Arial" w:hAnsi="Arial" w:cs="Arial"/>
          <w:lang w:val="es-CR"/>
        </w:rPr>
        <w:lastRenderedPageBreak/>
        <w:t>Los resultados anteriores evidencian los efectos de medidas de contención de gasto planteadas para el año 2019.</w:t>
      </w:r>
    </w:p>
    <w:p w:rsidR="00ED72F3" w:rsidRPr="00ED72F3" w:rsidRDefault="00ED72F3" w:rsidP="00ED72F3">
      <w:pPr>
        <w:ind w:left="708"/>
        <w:rPr>
          <w:rFonts w:ascii="Arial" w:hAnsi="Arial" w:cs="Arial"/>
          <w:sz w:val="22"/>
          <w:szCs w:val="22"/>
          <w:lang w:val="es-CR"/>
        </w:rPr>
      </w:pPr>
    </w:p>
    <w:p w:rsidR="00ED72F3" w:rsidRPr="00ED72F3" w:rsidRDefault="00ED72F3" w:rsidP="00ED72F3">
      <w:pPr>
        <w:numPr>
          <w:ilvl w:val="0"/>
          <w:numId w:val="15"/>
        </w:numPr>
        <w:ind w:left="426" w:right="-91" w:hanging="426"/>
        <w:jc w:val="both"/>
        <w:rPr>
          <w:rFonts w:ascii="Arial" w:hAnsi="Arial" w:cs="Arial"/>
          <w:sz w:val="20"/>
          <w:szCs w:val="20"/>
          <w:lang w:val="es-CR"/>
        </w:rPr>
      </w:pPr>
      <w:r w:rsidRPr="00ED72F3">
        <w:rPr>
          <w:rFonts w:ascii="Arial" w:hAnsi="Arial" w:cs="Arial"/>
          <w:lang w:val="es-CR"/>
        </w:rPr>
        <w:t xml:space="preserve">Se requiere que el Consejo Institucional dé por conocido el Informe de Ejecución Presupuestaria al 31 de marzo de 2019, para cumplir con la normativa vigente.  </w:t>
      </w:r>
    </w:p>
    <w:p w:rsidR="00ED72F3" w:rsidRPr="00ED72F3" w:rsidRDefault="00ED72F3" w:rsidP="00ED72F3">
      <w:pPr>
        <w:ind w:right="-91"/>
        <w:jc w:val="both"/>
        <w:rPr>
          <w:rFonts w:ascii="Arial" w:hAnsi="Arial" w:cs="Arial"/>
          <w:sz w:val="20"/>
          <w:szCs w:val="20"/>
          <w:lang w:val="es-CR"/>
        </w:rPr>
      </w:pPr>
    </w:p>
    <w:p w:rsidR="00ED72F3" w:rsidRPr="00ED72F3" w:rsidRDefault="00ED72F3" w:rsidP="00ED72F3">
      <w:pPr>
        <w:ind w:right="-91"/>
        <w:rPr>
          <w:rFonts w:ascii="Arial" w:hAnsi="Arial" w:cs="Arial"/>
          <w:b/>
          <w:lang w:val="es-CR"/>
        </w:rPr>
      </w:pPr>
      <w:r w:rsidRPr="00ED72F3">
        <w:rPr>
          <w:rFonts w:ascii="Arial" w:hAnsi="Arial" w:cs="Arial"/>
          <w:b/>
          <w:lang w:val="es-CR"/>
        </w:rPr>
        <w:t>SE</w:t>
      </w:r>
      <w:r>
        <w:rPr>
          <w:rFonts w:ascii="Arial" w:hAnsi="Arial" w:cs="Arial"/>
          <w:b/>
          <w:lang w:val="es-CR"/>
        </w:rPr>
        <w:t xml:space="preserve"> ACUERDA</w:t>
      </w:r>
      <w:r w:rsidRPr="00ED72F3">
        <w:rPr>
          <w:rFonts w:ascii="Arial" w:hAnsi="Arial" w:cs="Arial"/>
          <w:b/>
          <w:lang w:val="es-CR"/>
        </w:rPr>
        <w:t>:</w:t>
      </w:r>
    </w:p>
    <w:p w:rsidR="00ED72F3" w:rsidRPr="00ED72F3" w:rsidRDefault="00ED72F3" w:rsidP="00ED72F3">
      <w:pPr>
        <w:ind w:left="360" w:right="-91"/>
        <w:rPr>
          <w:rFonts w:ascii="Arial" w:hAnsi="Arial" w:cs="Arial"/>
          <w:sz w:val="16"/>
          <w:szCs w:val="16"/>
        </w:rPr>
      </w:pPr>
    </w:p>
    <w:p w:rsidR="00ED72F3" w:rsidRPr="00ED72F3" w:rsidRDefault="00ED72F3" w:rsidP="00ED72F3">
      <w:pPr>
        <w:numPr>
          <w:ilvl w:val="0"/>
          <w:numId w:val="6"/>
        </w:numPr>
        <w:contextualSpacing/>
        <w:jc w:val="both"/>
        <w:rPr>
          <w:rFonts w:ascii="Arial" w:hAnsi="Arial" w:cs="Arial"/>
          <w:lang w:val="es-CR"/>
        </w:rPr>
      </w:pPr>
      <w:r w:rsidRPr="00ED72F3">
        <w:rPr>
          <w:rFonts w:ascii="Arial" w:hAnsi="Arial" w:cs="Arial"/>
        </w:rPr>
        <w:t xml:space="preserve">Dar por conocido el Informe de Ejecución Presupuestaria al 31 de marzo </w:t>
      </w:r>
      <w:proofErr w:type="gramStart"/>
      <w:r w:rsidRPr="00ED72F3">
        <w:rPr>
          <w:rFonts w:ascii="Arial" w:hAnsi="Arial" w:cs="Arial"/>
        </w:rPr>
        <w:t>de  2019</w:t>
      </w:r>
      <w:proofErr w:type="gramEnd"/>
      <w:r w:rsidRPr="00ED72F3">
        <w:rPr>
          <w:rFonts w:ascii="Arial" w:hAnsi="Arial" w:cs="Arial"/>
        </w:rPr>
        <w:t xml:space="preserve">, adjunto al oficio </w:t>
      </w:r>
      <w:r w:rsidRPr="00ED72F3">
        <w:rPr>
          <w:rFonts w:ascii="Arial" w:hAnsi="Arial" w:cs="Arial"/>
          <w:lang w:val="es-CR"/>
        </w:rPr>
        <w:t xml:space="preserve">R-400-2019, según el siguiente detalle: </w:t>
      </w:r>
      <w:r w:rsidRPr="00ED72F3">
        <w:rPr>
          <w:rFonts w:ascii="Arial" w:hAnsi="Arial" w:cs="Arial"/>
        </w:rPr>
        <w:t xml:space="preserve"> (</w:t>
      </w:r>
      <w:r w:rsidRPr="00ED72F3">
        <w:rPr>
          <w:rFonts w:ascii="Arial" w:hAnsi="Arial" w:cs="Arial"/>
          <w:i/>
          <w:sz w:val="22"/>
          <w:szCs w:val="22"/>
        </w:rPr>
        <w:t>Ver pág. 2, del Anexo 1)</w:t>
      </w:r>
      <w:r w:rsidRPr="00ED72F3">
        <w:rPr>
          <w:rFonts w:ascii="Arial" w:hAnsi="Arial" w:cs="Arial"/>
        </w:rPr>
        <w:t xml:space="preserve">  </w:t>
      </w:r>
    </w:p>
    <w:p w:rsidR="00ED72F3" w:rsidRPr="00ED72F3" w:rsidRDefault="00ED72F3" w:rsidP="00ED72F3">
      <w:pPr>
        <w:ind w:left="360"/>
        <w:contextualSpacing/>
        <w:jc w:val="both"/>
        <w:rPr>
          <w:rFonts w:ascii="Arial" w:hAnsi="Arial" w:cs="Arial"/>
          <w:lang w:val="es-CR"/>
        </w:rPr>
      </w:pPr>
    </w:p>
    <w:p w:rsidR="00ED72F3" w:rsidRPr="00ED72F3" w:rsidRDefault="00ED72F3" w:rsidP="00ED72F3">
      <w:pPr>
        <w:ind w:right="-91"/>
        <w:jc w:val="both"/>
        <w:rPr>
          <w:rFonts w:ascii="Arial" w:hAnsi="Arial" w:cs="Arial"/>
          <w:lang w:val="es-CR"/>
        </w:rPr>
      </w:pPr>
      <w:r w:rsidRPr="00ED72F3">
        <w:rPr>
          <w:noProof/>
          <w:sz w:val="20"/>
          <w:szCs w:val="20"/>
          <w:lang w:val="es-CR" w:eastAsia="es-CR"/>
        </w:rPr>
        <w:drawing>
          <wp:inline distT="0" distB="0" distL="0" distR="0" wp14:anchorId="0530449F" wp14:editId="27C53BB0">
            <wp:extent cx="5759450" cy="376939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3769396"/>
                    </a:xfrm>
                    <a:prstGeom prst="rect">
                      <a:avLst/>
                    </a:prstGeom>
                  </pic:spPr>
                </pic:pic>
              </a:graphicData>
            </a:graphic>
          </wp:inline>
        </w:drawing>
      </w:r>
    </w:p>
    <w:p w:rsidR="00C46475" w:rsidRPr="00C46475" w:rsidRDefault="00C46475" w:rsidP="00C46475">
      <w:pPr>
        <w:jc w:val="both"/>
        <w:rPr>
          <w:rFonts w:ascii="Arial" w:eastAsia="Calibri" w:hAnsi="Arial" w:cs="Arial"/>
          <w:sz w:val="22"/>
          <w:szCs w:val="22"/>
          <w:lang w:val="es-CR"/>
        </w:rPr>
      </w:pPr>
    </w:p>
    <w:p w:rsidR="00917157" w:rsidRPr="00ED72F3" w:rsidRDefault="00917157" w:rsidP="00F96DD8">
      <w:pPr>
        <w:numPr>
          <w:ilvl w:val="0"/>
          <w:numId w:val="6"/>
        </w:numPr>
        <w:contextualSpacing/>
        <w:jc w:val="both"/>
        <w:rPr>
          <w:rFonts w:ascii="Arial" w:hAnsi="Arial" w:cs="Arial"/>
        </w:rPr>
      </w:pPr>
      <w:r>
        <w:rPr>
          <w:rFonts w:ascii="Arial" w:hAnsi="Arial" w:cs="Arial"/>
          <w:b/>
          <w:lang w:val="es-CR"/>
        </w:rPr>
        <w:t>ACUERDO FIRME.</w:t>
      </w:r>
    </w:p>
    <w:p w:rsidR="00ED72F3" w:rsidRPr="00F873EA" w:rsidRDefault="00ED72F3" w:rsidP="00ED72F3">
      <w:pPr>
        <w:contextualSpacing/>
        <w:jc w:val="both"/>
        <w:rPr>
          <w:rFonts w:ascii="Arial" w:hAnsi="Arial" w:cs="Arial"/>
        </w:rPr>
      </w:pPr>
    </w:p>
    <w:p w:rsidR="00CF46CC" w:rsidRPr="00ED72F3" w:rsidRDefault="00ED72F3" w:rsidP="00ED72F3">
      <w:pPr>
        <w:ind w:left="-709" w:firstLine="709"/>
        <w:rPr>
          <w:rFonts w:ascii="Arial" w:hAnsi="Arial" w:cs="Arial"/>
          <w:b/>
          <w:sz w:val="22"/>
          <w:szCs w:val="22"/>
          <w:lang w:val="es-CR"/>
        </w:rPr>
      </w:pPr>
      <w:r w:rsidRPr="00ED72F3">
        <w:rPr>
          <w:rFonts w:ascii="Arial" w:hAnsi="Arial" w:cs="Arial"/>
          <w:b/>
          <w:sz w:val="22"/>
          <w:szCs w:val="22"/>
          <w:lang w:val="es-CR"/>
        </w:rPr>
        <w:t xml:space="preserve">Palabras clave:  Informe – Ejecución – Presupuestaria – </w:t>
      </w:r>
      <w:proofErr w:type="gramStart"/>
      <w:r w:rsidRPr="00ED72F3">
        <w:rPr>
          <w:rFonts w:ascii="Arial" w:hAnsi="Arial" w:cs="Arial"/>
          <w:b/>
          <w:sz w:val="22"/>
          <w:szCs w:val="22"/>
          <w:lang w:val="es-CR"/>
        </w:rPr>
        <w:t>31  marzo</w:t>
      </w:r>
      <w:proofErr w:type="gramEnd"/>
      <w:r w:rsidRPr="00ED72F3">
        <w:rPr>
          <w:rFonts w:ascii="Arial" w:hAnsi="Arial" w:cs="Arial"/>
          <w:b/>
          <w:sz w:val="22"/>
          <w:szCs w:val="22"/>
          <w:lang w:val="es-CR"/>
        </w:rPr>
        <w:t xml:space="preserve">  2019</w:t>
      </w: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8D187C">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r w:rsidR="00CE7F7E" w:rsidRPr="00474B22" w:rsidTr="008D187C">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077CC" w:rsidRPr="000077CC" w:rsidRDefault="00C413F4" w:rsidP="001E3F3C">
      <w:pPr>
        <w:jc w:val="both"/>
        <w:rPr>
          <w:rFonts w:ascii="Arial" w:hAnsi="Arial" w:cs="Arial"/>
          <w:b/>
          <w:sz w:val="16"/>
          <w:szCs w:val="16"/>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B77B04" w:rsidRDefault="00B77B04" w:rsidP="00F41044">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Default="002C0D34" w:rsidP="00C6045C">
      <w:pPr>
        <w:ind w:left="851"/>
        <w:jc w:val="both"/>
        <w:rPr>
          <w:rFonts w:ascii="Arial" w:eastAsia="Cambria" w:hAnsi="Arial" w:cs="Arial"/>
          <w:sz w:val="22"/>
          <w:szCs w:val="22"/>
          <w:lang w:val="es-CR" w:eastAsia="en-US"/>
        </w:rPr>
      </w:pPr>
    </w:p>
    <w:p w:rsidR="00ED72F3" w:rsidRDefault="00ED72F3" w:rsidP="00C6045C">
      <w:pPr>
        <w:ind w:left="851"/>
        <w:jc w:val="both"/>
        <w:rPr>
          <w:rFonts w:ascii="Arial" w:eastAsia="Cambria" w:hAnsi="Arial" w:cs="Arial"/>
          <w:sz w:val="22"/>
          <w:szCs w:val="22"/>
          <w:lang w:val="es-CR" w:eastAsia="en-US"/>
        </w:rPr>
      </w:pPr>
    </w:p>
    <w:p w:rsidR="00ED72F3" w:rsidRPr="00ED72F3" w:rsidRDefault="00ED72F3" w:rsidP="00ED72F3">
      <w:pPr>
        <w:ind w:left="-709" w:firstLine="709"/>
        <w:rPr>
          <w:rFonts w:ascii="Arial" w:hAnsi="Arial" w:cs="Arial"/>
          <w:b/>
          <w:lang w:val="es-CR"/>
        </w:rPr>
      </w:pPr>
      <w:r w:rsidRPr="00ED72F3">
        <w:rPr>
          <w:rFonts w:ascii="Arial" w:hAnsi="Arial" w:cs="Arial"/>
          <w:b/>
          <w:lang w:val="es-CR"/>
        </w:rPr>
        <w:t xml:space="preserve">ANEXO 1.  </w:t>
      </w:r>
    </w:p>
    <w:p w:rsidR="00ED72F3" w:rsidRPr="00ED72F3" w:rsidRDefault="00ED72F3" w:rsidP="00ED72F3">
      <w:pPr>
        <w:ind w:left="-709"/>
        <w:rPr>
          <w:rFonts w:ascii="Arial" w:hAnsi="Arial" w:cs="Arial"/>
          <w:b/>
          <w:lang w:val="es-CR"/>
        </w:rPr>
      </w:pPr>
    </w:p>
    <w:p w:rsidR="00ED72F3" w:rsidRPr="00ED72F3" w:rsidRDefault="00ED72F3" w:rsidP="00ED72F3">
      <w:pPr>
        <w:ind w:left="-142"/>
        <w:jc w:val="both"/>
        <w:rPr>
          <w:rFonts w:ascii="Arial" w:hAnsi="Arial" w:cs="Arial"/>
          <w:lang w:val="es-CR"/>
        </w:rPr>
      </w:pPr>
      <w:r w:rsidRPr="00ED72F3">
        <w:rPr>
          <w:rFonts w:ascii="Arial" w:hAnsi="Arial" w:cs="Arial"/>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57.75pt" o:ole="">
            <v:imagedata r:id="rId9" o:title=""/>
          </v:shape>
          <o:OLEObject Type="Embed" ProgID="AcroExch.Document.DC" ShapeID="_x0000_i1025" DrawAspect="Icon" ObjectID="_1617687289" r:id="rId10"/>
        </w:object>
      </w:r>
    </w:p>
    <w:p w:rsidR="00ED72F3" w:rsidRPr="00B77B04" w:rsidRDefault="00ED72F3" w:rsidP="00C6045C">
      <w:pPr>
        <w:ind w:left="851"/>
        <w:jc w:val="both"/>
        <w:rPr>
          <w:rFonts w:ascii="Arial" w:eastAsia="Cambria" w:hAnsi="Arial" w:cs="Arial"/>
          <w:sz w:val="22"/>
          <w:szCs w:val="22"/>
          <w:lang w:val="es-CR" w:eastAsia="en-US"/>
        </w:rPr>
      </w:pPr>
    </w:p>
    <w:sectPr w:rsidR="00ED72F3" w:rsidRPr="00B77B04"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EEB" w:rsidRDefault="00964EEB">
      <w:r>
        <w:separator/>
      </w:r>
    </w:p>
  </w:endnote>
  <w:endnote w:type="continuationSeparator" w:id="0">
    <w:p w:rsidR="00964EEB" w:rsidRDefault="00964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notTrueType/>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EEB" w:rsidRDefault="00964EEB">
      <w:r>
        <w:separator/>
      </w:r>
    </w:p>
  </w:footnote>
  <w:footnote w:type="continuationSeparator" w:id="0">
    <w:p w:rsidR="00964EEB" w:rsidRDefault="00964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1E3F3C">
      <w:rPr>
        <w:rFonts w:ascii="Arial" w:eastAsia="Cambria" w:hAnsi="Arial" w:cs="Arial"/>
        <w:i/>
        <w:sz w:val="18"/>
        <w:szCs w:val="18"/>
        <w:lang w:val="es-ES_tradnl" w:eastAsia="x-none"/>
      </w:rPr>
      <w:t>1</w:t>
    </w:r>
    <w:r w:rsidR="00BD38AF">
      <w:rPr>
        <w:rFonts w:ascii="Arial" w:eastAsia="Cambria" w:hAnsi="Arial" w:cs="Arial"/>
        <w:i/>
        <w:sz w:val="18"/>
        <w:szCs w:val="18"/>
        <w:lang w:val="es-ES_tradnl" w:eastAsia="x-none"/>
      </w:rPr>
      <w:t>4</w:t>
    </w:r>
    <w:r w:rsidRPr="00D958BC">
      <w:rPr>
        <w:rFonts w:ascii="Arial" w:eastAsia="Cambria" w:hAnsi="Arial" w:cs="Arial"/>
        <w:i/>
        <w:sz w:val="18"/>
        <w:szCs w:val="18"/>
        <w:lang w:val="es-ES_tradnl" w:eastAsia="x-none"/>
      </w:rPr>
      <w:t xml:space="preserve"> Artículo </w:t>
    </w:r>
    <w:r w:rsidR="005A7222">
      <w:rPr>
        <w:rFonts w:ascii="Arial" w:eastAsia="Cambria" w:hAnsi="Arial" w:cs="Arial"/>
        <w:i/>
        <w:sz w:val="18"/>
        <w:szCs w:val="18"/>
        <w:lang w:val="es-ES_tradnl" w:eastAsia="x-none"/>
      </w:rPr>
      <w:t>9</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BD38AF">
      <w:rPr>
        <w:rFonts w:ascii="Arial" w:eastAsia="Cambria" w:hAnsi="Arial" w:cs="Arial"/>
        <w:i/>
        <w:sz w:val="18"/>
        <w:szCs w:val="18"/>
        <w:lang w:val="es-ES_tradnl" w:eastAsia="x-none"/>
      </w:rPr>
      <w:t>24</w:t>
    </w:r>
    <w:r w:rsidR="005A7222">
      <w:rPr>
        <w:rFonts w:ascii="Arial" w:eastAsia="Cambria" w:hAnsi="Arial" w:cs="Arial"/>
        <w:i/>
        <w:sz w:val="18"/>
        <w:szCs w:val="18"/>
        <w:lang w:val="es-ES_tradnl" w:eastAsia="x-none"/>
      </w:rPr>
      <w:t xml:space="preserve"> de abril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791806">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2DB1622"/>
    <w:multiLevelType w:val="hybridMultilevel"/>
    <w:tmpl w:val="3B00C8E4"/>
    <w:lvl w:ilvl="0" w:tplc="78B4FC56">
      <w:start w:val="1"/>
      <w:numFmt w:val="decimal"/>
      <w:lvlText w:val="%1."/>
      <w:lvlJc w:val="left"/>
      <w:pPr>
        <w:ind w:left="720" w:hanging="360"/>
      </w:pPr>
      <w:rPr>
        <w:b/>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23B497B"/>
    <w:multiLevelType w:val="hybridMultilevel"/>
    <w:tmpl w:val="69C64498"/>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5" w15:restartNumberingAfterBreak="0">
    <w:nsid w:val="37852E90"/>
    <w:multiLevelType w:val="hybridMultilevel"/>
    <w:tmpl w:val="5ECC2DE6"/>
    <w:lvl w:ilvl="0" w:tplc="0D1C3762">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C6F2D92"/>
    <w:multiLevelType w:val="multilevel"/>
    <w:tmpl w:val="C820FF60"/>
    <w:lvl w:ilvl="0">
      <w:start w:val="1"/>
      <w:numFmt w:val="decimal"/>
      <w:lvlText w:val="%1."/>
      <w:lvlJc w:val="left"/>
      <w:pPr>
        <w:tabs>
          <w:tab w:val="num" w:pos="3252"/>
        </w:tabs>
        <w:ind w:left="3252" w:hanging="360"/>
      </w:pPr>
    </w:lvl>
    <w:lvl w:ilvl="1" w:tentative="1">
      <w:start w:val="1"/>
      <w:numFmt w:val="decimal"/>
      <w:lvlText w:val="%2."/>
      <w:lvlJc w:val="left"/>
      <w:pPr>
        <w:tabs>
          <w:tab w:val="num" w:pos="3972"/>
        </w:tabs>
        <w:ind w:left="3972" w:hanging="360"/>
      </w:pPr>
    </w:lvl>
    <w:lvl w:ilvl="2" w:tentative="1">
      <w:start w:val="1"/>
      <w:numFmt w:val="decimal"/>
      <w:lvlText w:val="%3."/>
      <w:lvlJc w:val="left"/>
      <w:pPr>
        <w:tabs>
          <w:tab w:val="num" w:pos="4692"/>
        </w:tabs>
        <w:ind w:left="4692" w:hanging="360"/>
      </w:pPr>
    </w:lvl>
    <w:lvl w:ilvl="3" w:tentative="1">
      <w:start w:val="1"/>
      <w:numFmt w:val="decimal"/>
      <w:lvlText w:val="%4."/>
      <w:lvlJc w:val="left"/>
      <w:pPr>
        <w:tabs>
          <w:tab w:val="num" w:pos="5412"/>
        </w:tabs>
        <w:ind w:left="5412" w:hanging="360"/>
      </w:pPr>
    </w:lvl>
    <w:lvl w:ilvl="4" w:tentative="1">
      <w:start w:val="1"/>
      <w:numFmt w:val="decimal"/>
      <w:lvlText w:val="%5."/>
      <w:lvlJc w:val="left"/>
      <w:pPr>
        <w:tabs>
          <w:tab w:val="num" w:pos="6132"/>
        </w:tabs>
        <w:ind w:left="6132" w:hanging="360"/>
      </w:pPr>
    </w:lvl>
    <w:lvl w:ilvl="5" w:tentative="1">
      <w:start w:val="1"/>
      <w:numFmt w:val="decimal"/>
      <w:lvlText w:val="%6."/>
      <w:lvlJc w:val="left"/>
      <w:pPr>
        <w:tabs>
          <w:tab w:val="num" w:pos="6852"/>
        </w:tabs>
        <w:ind w:left="6852" w:hanging="360"/>
      </w:pPr>
    </w:lvl>
    <w:lvl w:ilvl="6" w:tentative="1">
      <w:start w:val="1"/>
      <w:numFmt w:val="decimal"/>
      <w:lvlText w:val="%7."/>
      <w:lvlJc w:val="left"/>
      <w:pPr>
        <w:tabs>
          <w:tab w:val="num" w:pos="7572"/>
        </w:tabs>
        <w:ind w:left="7572" w:hanging="360"/>
      </w:pPr>
    </w:lvl>
    <w:lvl w:ilvl="7" w:tentative="1">
      <w:start w:val="1"/>
      <w:numFmt w:val="decimal"/>
      <w:lvlText w:val="%8."/>
      <w:lvlJc w:val="left"/>
      <w:pPr>
        <w:tabs>
          <w:tab w:val="num" w:pos="8292"/>
        </w:tabs>
        <w:ind w:left="8292" w:hanging="360"/>
      </w:pPr>
    </w:lvl>
    <w:lvl w:ilvl="8" w:tentative="1">
      <w:start w:val="1"/>
      <w:numFmt w:val="decimal"/>
      <w:lvlText w:val="%9."/>
      <w:lvlJc w:val="left"/>
      <w:pPr>
        <w:tabs>
          <w:tab w:val="num" w:pos="9012"/>
        </w:tabs>
        <w:ind w:left="9012" w:hanging="360"/>
      </w:pPr>
    </w:lvl>
  </w:abstractNum>
  <w:abstractNum w:abstractNumId="8" w15:restartNumberingAfterBreak="0">
    <w:nsid w:val="45C31E7A"/>
    <w:multiLevelType w:val="hybridMultilevel"/>
    <w:tmpl w:val="07AEE9D0"/>
    <w:lvl w:ilvl="0" w:tplc="8EF00520">
      <w:start w:val="1"/>
      <w:numFmt w:val="decimal"/>
      <w:lvlText w:val="%1."/>
      <w:lvlJc w:val="left"/>
      <w:pPr>
        <w:ind w:left="360" w:hanging="360"/>
      </w:pPr>
      <w:rPr>
        <w:b/>
        <w:i w:val="0"/>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78B6092"/>
    <w:multiLevelType w:val="hybridMultilevel"/>
    <w:tmpl w:val="F580ECF4"/>
    <w:lvl w:ilvl="0" w:tplc="E40E7422">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15:restartNumberingAfterBreak="0">
    <w:nsid w:val="51840198"/>
    <w:multiLevelType w:val="hybridMultilevel"/>
    <w:tmpl w:val="92DA360A"/>
    <w:lvl w:ilvl="0" w:tplc="DF344760">
      <w:start w:val="1"/>
      <w:numFmt w:val="upperRoman"/>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FD336ED"/>
    <w:multiLevelType w:val="hybridMultilevel"/>
    <w:tmpl w:val="3F02B9EC"/>
    <w:lvl w:ilvl="0" w:tplc="EED4F206">
      <w:start w:val="1"/>
      <w:numFmt w:val="lowerLetter"/>
      <w:lvlText w:val="%1."/>
      <w:lvlJc w:val="left"/>
      <w:pPr>
        <w:ind w:left="360" w:hanging="360"/>
      </w:pPr>
      <w:rPr>
        <w:rFonts w:hint="default"/>
        <w:b/>
        <w:i w:val="0"/>
        <w:strike w:val="0"/>
        <w:color w:val="auto"/>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8FC32BA"/>
    <w:multiLevelType w:val="hybridMultilevel"/>
    <w:tmpl w:val="A78A0200"/>
    <w:lvl w:ilvl="0" w:tplc="32CC3A2C">
      <w:start w:val="2"/>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91A38DB"/>
    <w:multiLevelType w:val="hybridMultilevel"/>
    <w:tmpl w:val="7244280C"/>
    <w:lvl w:ilvl="0" w:tplc="DBD4D45A">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
  </w:num>
  <w:num w:numId="2">
    <w:abstractNumId w:val="0"/>
  </w:num>
  <w:num w:numId="3">
    <w:abstractNumId w:val="6"/>
  </w:num>
  <w:num w:numId="4">
    <w:abstractNumId w:val="9"/>
  </w:num>
  <w:num w:numId="5">
    <w:abstractNumId w:val="14"/>
  </w:num>
  <w:num w:numId="6">
    <w:abstractNumId w:val="5"/>
  </w:num>
  <w:num w:numId="7">
    <w:abstractNumId w:val="4"/>
  </w:num>
  <w:num w:numId="8">
    <w:abstractNumId w:val="10"/>
  </w:num>
  <w:num w:numId="9">
    <w:abstractNumId w:val="11"/>
  </w:num>
  <w:num w:numId="10">
    <w:abstractNumId w:val="8"/>
  </w:num>
  <w:num w:numId="11">
    <w:abstractNumId w:val="7"/>
  </w:num>
  <w:num w:numId="12">
    <w:abstractNumId w:val="13"/>
  </w:num>
  <w:num w:numId="13">
    <w:abstractNumId w:val="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63D3"/>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3D21"/>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47F1"/>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46A0"/>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BA9"/>
    <w:rsid w:val="004F7EB0"/>
    <w:rsid w:val="00501E14"/>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3D1A"/>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2D8A"/>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806"/>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4EEB"/>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0F6"/>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49F8"/>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737"/>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4970"/>
    <w:rsid w:val="00BC53DB"/>
    <w:rsid w:val="00BD38AF"/>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A27"/>
    <w:rsid w:val="00C64580"/>
    <w:rsid w:val="00C64624"/>
    <w:rsid w:val="00C65E08"/>
    <w:rsid w:val="00C67192"/>
    <w:rsid w:val="00C70F0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C7CB5"/>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83E"/>
    <w:rsid w:val="00D37A3C"/>
    <w:rsid w:val="00D41CFB"/>
    <w:rsid w:val="00D43903"/>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4D8"/>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77421"/>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20309"/>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A6544-A32D-461E-8470-DD8293FE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3</Pages>
  <Words>877</Words>
  <Characters>4827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124</cp:revision>
  <cp:lastPrinted>2019-03-27T19:57:00Z</cp:lastPrinted>
  <dcterms:created xsi:type="dcterms:W3CDTF">2018-05-02T21:37:00Z</dcterms:created>
  <dcterms:modified xsi:type="dcterms:W3CDTF">2019-04-25T14:48:00Z</dcterms:modified>
</cp:coreProperties>
</file>