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6B1B55">
        <w:rPr>
          <w:rFonts w:ascii="Arial" w:hAnsi="Arial" w:cs="Arial"/>
          <w:b/>
          <w:bCs/>
          <w:iCs/>
          <w:sz w:val="26"/>
          <w:szCs w:val="22"/>
          <w:lang w:val="es-CR"/>
        </w:rPr>
        <w:t>321</w:t>
      </w:r>
      <w:r w:rsidRPr="00D958BC">
        <w:rPr>
          <w:rFonts w:ascii="Arial" w:hAnsi="Arial" w:cs="Arial"/>
          <w:b/>
          <w:bCs/>
          <w:iCs/>
          <w:sz w:val="26"/>
          <w:szCs w:val="22"/>
          <w:lang w:val="es-CR"/>
        </w:rPr>
        <w:t>-201</w:t>
      </w:r>
      <w:r w:rsidR="00C70F02">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ED72F3" w:rsidRDefault="00CC7CB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Pr>
                <w:rFonts w:ascii="Arial" w:eastAsia="Cambria" w:hAnsi="Arial" w:cs="Arial"/>
                <w:sz w:val="22"/>
                <w:szCs w:val="22"/>
                <w:lang w:val="es-ES_tradnl" w:eastAsia="en-US"/>
              </w:rPr>
              <w:t xml:space="preserve"> </w:t>
            </w:r>
          </w:p>
          <w:p w:rsidR="006B1B55" w:rsidRDefault="006B1B55" w:rsidP="006B1B55">
            <w:pPr>
              <w:jc w:val="both"/>
              <w:rPr>
                <w:rFonts w:ascii="Arial" w:hAnsi="Arial" w:cs="Arial"/>
                <w:sz w:val="22"/>
                <w:szCs w:val="22"/>
                <w:lang w:val="es-ES_tradnl"/>
              </w:rPr>
            </w:pPr>
            <w:r>
              <w:rPr>
                <w:rFonts w:ascii="Arial" w:hAnsi="Arial" w:cs="Arial"/>
                <w:sz w:val="22"/>
                <w:szCs w:val="22"/>
                <w:lang w:val="es-ES_tradnl"/>
              </w:rPr>
              <w:t>Ing. Osvaldo Guerrero Castro, Presidente de la Comisión de Evaluación</w:t>
            </w:r>
          </w:p>
          <w:p w:rsidR="006B1B55" w:rsidRDefault="006B1B55" w:rsidP="006B1B55">
            <w:pPr>
              <w:jc w:val="both"/>
              <w:rPr>
                <w:rFonts w:ascii="Arial" w:hAnsi="Arial" w:cs="Arial"/>
                <w:sz w:val="22"/>
                <w:szCs w:val="22"/>
                <w:lang w:val="es-ES_tradnl"/>
              </w:rPr>
            </w:pPr>
            <w:r>
              <w:rPr>
                <w:rFonts w:ascii="Arial" w:hAnsi="Arial" w:cs="Arial"/>
                <w:sz w:val="22"/>
                <w:szCs w:val="22"/>
                <w:lang w:val="es-ES_tradnl"/>
              </w:rPr>
              <w:t>Sra. Beatriz Bonilla Brenes, Presidenta de la Comisión de Carrera Administrativa y de Apoyo a la Academia</w:t>
            </w:r>
          </w:p>
          <w:p w:rsidR="006B1B55" w:rsidRDefault="006B1B55" w:rsidP="006B1B55">
            <w:pPr>
              <w:jc w:val="both"/>
              <w:rPr>
                <w:rFonts w:ascii="Arial" w:eastAsia="Cambria" w:hAnsi="Arial" w:cs="Arial"/>
                <w:sz w:val="22"/>
                <w:szCs w:val="22"/>
                <w:lang w:val="es-ES_tradnl" w:eastAsia="en-US"/>
              </w:rPr>
            </w:pPr>
            <w:r>
              <w:rPr>
                <w:rFonts w:ascii="Arial" w:hAnsi="Arial" w:cs="Arial"/>
                <w:sz w:val="22"/>
                <w:szCs w:val="22"/>
                <w:lang w:val="es-ES_tradnl"/>
              </w:rPr>
              <w:t>MAU. Tatiana Fernández Martín, Directora Oficina de Planificación Institucional</w:t>
            </w:r>
          </w:p>
          <w:p w:rsidR="008D5D01" w:rsidRDefault="008D5D01" w:rsidP="001F3B35">
            <w:pPr>
              <w:jc w:val="both"/>
              <w:rPr>
                <w:rFonts w:ascii="Arial" w:eastAsia="Cambria" w:hAnsi="Arial" w:cs="Arial"/>
                <w:sz w:val="22"/>
                <w:szCs w:val="22"/>
                <w:lang w:val="es-ES_tradnl" w:eastAsia="en-US"/>
              </w:rPr>
            </w:pPr>
          </w:p>
          <w:p w:rsidR="006B1B55" w:rsidRPr="00F548D2" w:rsidRDefault="006B1B55" w:rsidP="001F3B35">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BD38AF" w:rsidP="00AA61D4">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A</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E. Ana Damaris Quesada Murillo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Directora Ejecutiva</w:t>
            </w:r>
            <w:r w:rsidR="00D66ACE">
              <w:rPr>
                <w:rFonts w:ascii="Arial" w:eastAsia="Cambria" w:hAnsi="Arial" w:cs="Arial"/>
                <w:sz w:val="22"/>
                <w:szCs w:val="22"/>
                <w:lang w:val="es-ES_tradnl" w:eastAsia="en-US"/>
              </w:rPr>
              <w:t xml:space="preserve"> </w:t>
            </w:r>
          </w:p>
          <w:p w:rsidR="007742A1" w:rsidRPr="008E0D8C" w:rsidRDefault="00BD38AF"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008D7E9D"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1F3B35"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30</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5A7222">
              <w:rPr>
                <w:rFonts w:ascii="Arial" w:eastAsia="Cambria" w:hAnsi="Arial" w:cs="Arial"/>
                <w:b/>
                <w:sz w:val="22"/>
                <w:szCs w:val="22"/>
                <w:lang w:val="es-ES_tradnl" w:eastAsia="en-US"/>
              </w:rPr>
              <w:t>abril</w:t>
            </w:r>
            <w:r w:rsidR="00D76019">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C12C6" w:rsidRDefault="00FF209C" w:rsidP="00FD648E">
            <w:pPr>
              <w:ind w:left="30" w:hanging="30"/>
              <w:jc w:val="both"/>
              <w:rPr>
                <w:rFonts w:ascii="Arial" w:hAnsi="Arial" w:cs="Arial"/>
                <w:b/>
                <w:lang w:val="es-ES_tradnl" w:eastAsia="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1E3F3C">
              <w:rPr>
                <w:rFonts w:ascii="Arial" w:eastAsia="Calibri" w:hAnsi="Arial" w:cs="Arial"/>
                <w:b/>
                <w:sz w:val="22"/>
                <w:szCs w:val="22"/>
              </w:rPr>
              <w:t>1</w:t>
            </w:r>
            <w:r w:rsidR="001F3B35">
              <w:rPr>
                <w:rFonts w:ascii="Arial" w:eastAsia="Calibri" w:hAnsi="Arial" w:cs="Arial"/>
                <w:b/>
                <w:sz w:val="22"/>
                <w:szCs w:val="22"/>
              </w:rPr>
              <w:t>5</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FD648E">
              <w:rPr>
                <w:rFonts w:ascii="Arial" w:eastAsia="Calibri" w:hAnsi="Arial" w:cs="Arial"/>
                <w:b/>
                <w:sz w:val="22"/>
                <w:szCs w:val="22"/>
              </w:rPr>
              <w:t>10</w:t>
            </w:r>
            <w:r w:rsidR="007742A1" w:rsidRPr="008F0835">
              <w:rPr>
                <w:rFonts w:ascii="Arial" w:eastAsia="Calibri" w:hAnsi="Arial" w:cs="Arial"/>
                <w:b/>
                <w:sz w:val="22"/>
                <w:szCs w:val="22"/>
              </w:rPr>
              <w:t xml:space="preserve"> del </w:t>
            </w:r>
            <w:r w:rsidR="001F3B35">
              <w:rPr>
                <w:rFonts w:ascii="Arial" w:eastAsia="Calibri" w:hAnsi="Arial" w:cs="Arial"/>
                <w:b/>
                <w:sz w:val="22"/>
                <w:szCs w:val="22"/>
              </w:rPr>
              <w:t>30</w:t>
            </w:r>
            <w:r w:rsidR="005A7222">
              <w:rPr>
                <w:rFonts w:ascii="Arial" w:eastAsia="Calibri" w:hAnsi="Arial" w:cs="Arial"/>
                <w:b/>
                <w:sz w:val="22"/>
                <w:szCs w:val="22"/>
              </w:rPr>
              <w:t xml:space="preserve"> de abril </w:t>
            </w:r>
            <w:r w:rsidR="00A772EF" w:rsidRPr="008F0835">
              <w:rPr>
                <w:rFonts w:ascii="Arial" w:eastAsia="Calibri" w:hAnsi="Arial" w:cs="Arial"/>
                <w:b/>
                <w:sz w:val="22"/>
                <w:szCs w:val="22"/>
              </w:rPr>
              <w:t>de 201</w:t>
            </w:r>
            <w:r w:rsidR="00AA61D4">
              <w:rPr>
                <w:rFonts w:ascii="Arial" w:eastAsia="Calibri" w:hAnsi="Arial" w:cs="Arial"/>
                <w:b/>
                <w:sz w:val="22"/>
                <w:szCs w:val="22"/>
              </w:rPr>
              <w:t>9</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1F3B35" w:rsidRPr="001F3B35">
              <w:rPr>
                <w:rFonts w:ascii="Arial" w:eastAsia="Cambria" w:hAnsi="Arial" w:cs="Arial"/>
                <w:b/>
                <w:bCs/>
                <w:sz w:val="22"/>
                <w:szCs w:val="22"/>
                <w:lang w:val="es-CR" w:eastAsia="en-US"/>
              </w:rPr>
              <w:t>Subsanación del acuerdo de la Sesión Ordinaria No. 3096, Artículo 12, del 07 de noviembre de 2018. “Suspensión definitiva del trámite de la propuesta de “Reglamento de Carrera de Méritos del ITCR” elaborada por la Comisión de Planificación y Administración, según consulta a la Comunidad Institucional, mediante acuerdo del Consejo Institucional, Sesión Ordinaria No. 3078, Artículo 12, del 27 de junio de 2018”</w:t>
            </w:r>
          </w:p>
        </w:tc>
      </w:tr>
    </w:tbl>
    <w:p w:rsidR="00FF209C" w:rsidRDefault="00FF209C" w:rsidP="007742A1">
      <w:pPr>
        <w:jc w:val="both"/>
        <w:rPr>
          <w:rFonts w:ascii="Arial" w:eastAsia="Cambria" w:hAnsi="Arial" w:cs="Arial"/>
          <w:lang w:val="es-ES_tradnl" w:eastAsia="en-US"/>
        </w:rPr>
      </w:pPr>
    </w:p>
    <w:p w:rsidR="00ED72F3" w:rsidRDefault="00ED72F3"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6B1B55" w:rsidRDefault="006B1B55" w:rsidP="007742A1">
      <w:pPr>
        <w:jc w:val="both"/>
        <w:rPr>
          <w:rFonts w:ascii="Arial" w:eastAsia="Cambria" w:hAnsi="Arial" w:cs="Arial"/>
          <w:lang w:val="es-ES_tradnl" w:eastAsia="en-US"/>
        </w:rPr>
      </w:pPr>
    </w:p>
    <w:p w:rsidR="006B1B55" w:rsidRPr="00E76103" w:rsidRDefault="006B1B55" w:rsidP="006B1B55">
      <w:pPr>
        <w:jc w:val="both"/>
        <w:rPr>
          <w:rFonts w:ascii="Arial" w:eastAsia="Calibri" w:hAnsi="Arial" w:cs="Arial"/>
          <w:b/>
          <w:bCs/>
          <w:lang w:val="es-CR" w:eastAsia="en-US"/>
        </w:rPr>
      </w:pPr>
      <w:r w:rsidRPr="00E76103">
        <w:rPr>
          <w:rFonts w:ascii="Arial" w:eastAsia="Calibri" w:hAnsi="Arial" w:cs="Arial"/>
          <w:b/>
          <w:bCs/>
          <w:lang w:val="es-CR" w:eastAsia="en-US"/>
        </w:rPr>
        <w:t>RESULTANDO QUE:</w:t>
      </w:r>
    </w:p>
    <w:p w:rsidR="006B1B55" w:rsidRPr="00BD09BC" w:rsidRDefault="006B1B55" w:rsidP="006B1B55">
      <w:pPr>
        <w:rPr>
          <w:rFonts w:ascii="Arial" w:eastAsia="Calibri" w:hAnsi="Arial" w:cs="Arial"/>
          <w:sz w:val="16"/>
          <w:szCs w:val="16"/>
        </w:rPr>
      </w:pPr>
    </w:p>
    <w:p w:rsidR="006B1B55" w:rsidRPr="00E76103" w:rsidRDefault="006B1B55" w:rsidP="006B1B55">
      <w:pPr>
        <w:pStyle w:val="Prrafodelista"/>
        <w:numPr>
          <w:ilvl w:val="0"/>
          <w:numId w:val="4"/>
        </w:numPr>
        <w:contextualSpacing/>
        <w:jc w:val="both"/>
        <w:rPr>
          <w:rFonts w:ascii="Arial" w:eastAsia="Calibri" w:hAnsi="Arial" w:cs="Arial"/>
          <w:sz w:val="22"/>
          <w:szCs w:val="22"/>
        </w:rPr>
      </w:pPr>
      <w:r w:rsidRPr="00E76103">
        <w:rPr>
          <w:rFonts w:ascii="Arial" w:eastAsia="Calibri" w:hAnsi="Arial" w:cs="Arial"/>
          <w:sz w:val="22"/>
          <w:szCs w:val="22"/>
        </w:rPr>
        <w:t>La Asamblea Institucional Representativa modificó, en la Sesión Ordinaria 95-2018, del 03 de octubre de 2018, según publicación en la Gaceta 530 del 22 de octubre de 2018, los artículos 136 y 137 del Estatuto Orgánico, para que se lean de la siguiente manera:</w:t>
      </w:r>
    </w:p>
    <w:p w:rsidR="006B1B55" w:rsidRPr="00BD09BC" w:rsidRDefault="006B1B55" w:rsidP="006B1B55">
      <w:pPr>
        <w:jc w:val="both"/>
        <w:rPr>
          <w:rFonts w:ascii="Arial" w:eastAsia="Cambria" w:hAnsi="Arial" w:cs="Arial"/>
          <w:sz w:val="16"/>
          <w:szCs w:val="16"/>
          <w:lang w:eastAsia="en-US"/>
        </w:rPr>
      </w:pPr>
    </w:p>
    <w:p w:rsidR="006B1B55" w:rsidRPr="00E76103" w:rsidRDefault="006B1B55" w:rsidP="006B1B55">
      <w:pPr>
        <w:pStyle w:val="Default"/>
        <w:ind w:left="851" w:right="333"/>
        <w:jc w:val="both"/>
        <w:rPr>
          <w:i/>
          <w:sz w:val="20"/>
          <w:szCs w:val="20"/>
        </w:rPr>
      </w:pPr>
      <w:r w:rsidRPr="00E76103">
        <w:rPr>
          <w:b/>
          <w:bCs/>
          <w:i/>
          <w:sz w:val="20"/>
          <w:szCs w:val="20"/>
        </w:rPr>
        <w:t xml:space="preserve">“Artículo 136 </w:t>
      </w:r>
    </w:p>
    <w:p w:rsidR="006B1B55" w:rsidRPr="00E76103" w:rsidRDefault="006B1B55" w:rsidP="006B1B55">
      <w:pPr>
        <w:pStyle w:val="Default"/>
        <w:ind w:left="851" w:right="333"/>
        <w:jc w:val="both"/>
        <w:rPr>
          <w:i/>
          <w:sz w:val="20"/>
          <w:szCs w:val="20"/>
        </w:rPr>
      </w:pPr>
      <w:r w:rsidRPr="00E76103">
        <w:rPr>
          <w:i/>
          <w:sz w:val="20"/>
          <w:szCs w:val="20"/>
        </w:rPr>
        <w:t xml:space="preserve">Contra los actos y resoluciones de mero trámite, incidentales o finales de los órganos colegiados y autoridades institucionales que ejerzan funciones de dirección o administrativas, se podrán establecer los recursos ordinarios de revocatoria y de apelación y los extraordinarios de aclaración o adición, de reposición o reconsideración y de revisión; además de la gestión de queja. </w:t>
      </w:r>
    </w:p>
    <w:p w:rsidR="006B1B55" w:rsidRPr="00E76103" w:rsidRDefault="006B1B55" w:rsidP="006B1B55">
      <w:pPr>
        <w:pStyle w:val="Default"/>
        <w:ind w:left="851" w:right="333"/>
        <w:jc w:val="both"/>
        <w:rPr>
          <w:i/>
          <w:sz w:val="20"/>
          <w:szCs w:val="20"/>
        </w:rPr>
      </w:pPr>
      <w:r w:rsidRPr="00E76103">
        <w:rPr>
          <w:i/>
          <w:sz w:val="20"/>
          <w:szCs w:val="20"/>
        </w:rPr>
        <w:t xml:space="preserve">Todo acto y resolución emitida por órganos colegiados o autoridades institucionales deberá indicar los tipos de recursos que admite y sus respectivos plazos de presentación. </w:t>
      </w:r>
    </w:p>
    <w:p w:rsidR="006B1B55" w:rsidRPr="00E76103" w:rsidRDefault="006B1B55" w:rsidP="006B1B55">
      <w:pPr>
        <w:pStyle w:val="Default"/>
        <w:ind w:left="851" w:right="333"/>
        <w:jc w:val="both"/>
        <w:rPr>
          <w:i/>
          <w:sz w:val="20"/>
          <w:szCs w:val="20"/>
        </w:rPr>
      </w:pPr>
      <w:r w:rsidRPr="00E76103">
        <w:rPr>
          <w:i/>
          <w:sz w:val="20"/>
          <w:szCs w:val="20"/>
        </w:rPr>
        <w:t xml:space="preserve">Los actos o resoluciones que no indiquen lo anterior se considerarán nulos y no surtirán sus efectos hasta tanto no subsanen ese defecto. </w:t>
      </w:r>
    </w:p>
    <w:p w:rsidR="006B1B55" w:rsidRPr="00B511E8" w:rsidRDefault="006B1B55" w:rsidP="006B1B55">
      <w:pPr>
        <w:pStyle w:val="Default"/>
        <w:ind w:left="851" w:right="333"/>
        <w:jc w:val="both"/>
        <w:rPr>
          <w:i/>
          <w:sz w:val="16"/>
          <w:szCs w:val="16"/>
        </w:rPr>
      </w:pPr>
    </w:p>
    <w:p w:rsidR="006B1B55" w:rsidRPr="00E76103" w:rsidRDefault="006B1B55" w:rsidP="006B1B55">
      <w:pPr>
        <w:pStyle w:val="Default"/>
        <w:ind w:left="851" w:right="333"/>
        <w:jc w:val="both"/>
        <w:rPr>
          <w:i/>
          <w:sz w:val="20"/>
          <w:szCs w:val="20"/>
        </w:rPr>
      </w:pPr>
      <w:r w:rsidRPr="00E76103">
        <w:rPr>
          <w:b/>
          <w:bCs/>
          <w:i/>
          <w:sz w:val="20"/>
          <w:szCs w:val="20"/>
        </w:rPr>
        <w:t xml:space="preserve">Artículo 137 </w:t>
      </w:r>
    </w:p>
    <w:p w:rsidR="006B1B55" w:rsidRPr="00E76103" w:rsidRDefault="006B1B55" w:rsidP="006B1B55">
      <w:pPr>
        <w:pStyle w:val="Default"/>
        <w:ind w:left="851" w:right="333"/>
        <w:rPr>
          <w:i/>
          <w:sz w:val="20"/>
          <w:szCs w:val="20"/>
        </w:rPr>
      </w:pPr>
      <w:r w:rsidRPr="00E76103">
        <w:rPr>
          <w:i/>
          <w:sz w:val="20"/>
          <w:szCs w:val="20"/>
        </w:rPr>
        <w:t>Corresponde al superior jerárquico conocer en alzada la apelación. Todo recurso presentado fuera de plazo, será inadmisible y rechazado ad portas por extemporáneo”.</w:t>
      </w:r>
    </w:p>
    <w:p w:rsidR="006B1B55" w:rsidRPr="00BD09BC" w:rsidRDefault="006B1B55" w:rsidP="006B1B55">
      <w:pPr>
        <w:jc w:val="both"/>
        <w:rPr>
          <w:rFonts w:ascii="Arial" w:eastAsia="Cambria" w:hAnsi="Arial" w:cs="Arial"/>
          <w:sz w:val="16"/>
          <w:szCs w:val="16"/>
          <w:lang w:eastAsia="en-US"/>
        </w:rPr>
      </w:pPr>
    </w:p>
    <w:p w:rsidR="006B1B55" w:rsidRPr="00BD09BC" w:rsidRDefault="006B1B55" w:rsidP="006B1B55">
      <w:pPr>
        <w:pStyle w:val="Prrafodelista"/>
        <w:numPr>
          <w:ilvl w:val="0"/>
          <w:numId w:val="4"/>
        </w:numPr>
        <w:contextualSpacing/>
        <w:jc w:val="both"/>
        <w:rPr>
          <w:rFonts w:ascii="Arial" w:eastAsia="Calibri" w:hAnsi="Arial" w:cs="Arial"/>
          <w:sz w:val="22"/>
          <w:szCs w:val="22"/>
        </w:rPr>
      </w:pPr>
      <w:r w:rsidRPr="00BD09BC">
        <w:rPr>
          <w:rFonts w:ascii="Arial" w:eastAsia="Calibri" w:hAnsi="Arial" w:cs="Arial"/>
          <w:sz w:val="22"/>
          <w:szCs w:val="22"/>
        </w:rPr>
        <w:t xml:space="preserve">En la Sesión Ordinaria No. 3096, Artículo 12, del 07 de noviembre de 2018 se adoptó el acuerdo </w:t>
      </w:r>
      <w:r w:rsidRPr="00BD09BC">
        <w:rPr>
          <w:rFonts w:ascii="Arial" w:eastAsia="Calibri" w:hAnsi="Arial" w:cs="Arial"/>
          <w:i/>
          <w:sz w:val="22"/>
          <w:szCs w:val="22"/>
        </w:rPr>
        <w:t>“</w:t>
      </w:r>
      <w:r w:rsidRPr="00BD09BC">
        <w:rPr>
          <w:rFonts w:ascii="Arial" w:eastAsia="Cambria" w:hAnsi="Arial" w:cs="Arial"/>
          <w:bCs/>
          <w:i/>
          <w:sz w:val="22"/>
          <w:szCs w:val="22"/>
          <w:lang w:val="es-CR" w:eastAsia="en-US"/>
        </w:rPr>
        <w:t>Suspensión definitiva del trámite de la propuesta de “Reglamento de Carrera de Méritos del ITCR” elaborada por la Comisión de Planificación y Administración, según consulta a la Comunidad Institucional, mediante acuerdo del Consejo Institucional, Sesión Ordinaria No. 3078, Artículo 12, del 27 de junio de 2018</w:t>
      </w:r>
      <w:r w:rsidRPr="00BD09BC">
        <w:rPr>
          <w:rFonts w:ascii="Arial" w:eastAsia="Calibri" w:hAnsi="Arial" w:cs="Arial"/>
          <w:i/>
          <w:sz w:val="22"/>
          <w:szCs w:val="22"/>
        </w:rPr>
        <w:t>”.</w:t>
      </w:r>
    </w:p>
    <w:p w:rsidR="006B1B55" w:rsidRPr="00BD09BC" w:rsidRDefault="006B1B55" w:rsidP="006B1B55">
      <w:pPr>
        <w:jc w:val="both"/>
        <w:rPr>
          <w:rFonts w:ascii="Arial" w:eastAsia="Cambria" w:hAnsi="Arial" w:cs="Arial"/>
          <w:sz w:val="16"/>
          <w:szCs w:val="16"/>
          <w:lang w:eastAsia="en-US"/>
        </w:rPr>
      </w:pPr>
    </w:p>
    <w:p w:rsidR="006B1B55" w:rsidRPr="00E76103" w:rsidRDefault="006B1B55" w:rsidP="006B1B55">
      <w:pPr>
        <w:pStyle w:val="Prrafodelista"/>
        <w:numPr>
          <w:ilvl w:val="0"/>
          <w:numId w:val="4"/>
        </w:numPr>
        <w:contextualSpacing/>
        <w:jc w:val="both"/>
        <w:rPr>
          <w:rFonts w:ascii="Arial" w:eastAsia="Calibri" w:hAnsi="Arial" w:cs="Arial"/>
          <w:sz w:val="22"/>
          <w:szCs w:val="22"/>
        </w:rPr>
      </w:pPr>
      <w:r w:rsidRPr="00E76103">
        <w:rPr>
          <w:rFonts w:ascii="Arial" w:eastAsia="Calibri" w:hAnsi="Arial" w:cs="Arial"/>
          <w:sz w:val="22"/>
          <w:szCs w:val="22"/>
        </w:rPr>
        <w:t>El Artículo 72 del Reglamento del Consejo Institucional, establece lo siguiente:</w:t>
      </w:r>
    </w:p>
    <w:p w:rsidR="006B1B55" w:rsidRPr="00B511E8" w:rsidRDefault="006B1B55" w:rsidP="006B1B55">
      <w:pPr>
        <w:jc w:val="both"/>
        <w:rPr>
          <w:rFonts w:ascii="Verdana" w:hAnsi="Verdana"/>
          <w:sz w:val="16"/>
          <w:szCs w:val="16"/>
          <w:lang w:eastAsia="es-CR"/>
        </w:rPr>
      </w:pPr>
    </w:p>
    <w:p w:rsidR="006B1B55" w:rsidRPr="00E76103" w:rsidRDefault="006B1B55" w:rsidP="006B1B55">
      <w:pPr>
        <w:pStyle w:val="Default"/>
        <w:ind w:left="851" w:right="333"/>
        <w:jc w:val="both"/>
        <w:rPr>
          <w:i/>
          <w:sz w:val="20"/>
          <w:szCs w:val="20"/>
        </w:rPr>
      </w:pPr>
      <w:r w:rsidRPr="00E76103">
        <w:rPr>
          <w:i/>
          <w:sz w:val="20"/>
          <w:szCs w:val="20"/>
          <w:lang w:val="es-ES"/>
        </w:rPr>
        <w:t>“</w:t>
      </w:r>
      <w:r w:rsidRPr="00E76103">
        <w:rPr>
          <w:i/>
          <w:sz w:val="20"/>
          <w:szCs w:val="20"/>
        </w:rPr>
        <w:t>Contra los actos y resoluciones del Consejo Institucional podrán establecerse los recursos ordinarios de revocatoria y apelación, salvo los asuntos en materia de contratación administrativa”.</w:t>
      </w:r>
    </w:p>
    <w:p w:rsidR="006B1B55" w:rsidRPr="00BD09BC" w:rsidRDefault="006B1B55" w:rsidP="006B1B55">
      <w:pPr>
        <w:jc w:val="both"/>
        <w:rPr>
          <w:rFonts w:ascii="Arial" w:eastAsia="Cambria" w:hAnsi="Arial" w:cs="Arial"/>
          <w:sz w:val="16"/>
          <w:szCs w:val="16"/>
          <w:lang w:eastAsia="en-US"/>
        </w:rPr>
      </w:pPr>
    </w:p>
    <w:p w:rsidR="006B1B55" w:rsidRPr="00E76103" w:rsidRDefault="006B1B55" w:rsidP="006B1B55">
      <w:pPr>
        <w:pStyle w:val="Prrafodelista"/>
        <w:numPr>
          <w:ilvl w:val="0"/>
          <w:numId w:val="4"/>
        </w:numPr>
        <w:contextualSpacing/>
        <w:jc w:val="both"/>
        <w:rPr>
          <w:rFonts w:ascii="Arial" w:eastAsia="Calibri" w:hAnsi="Arial" w:cs="Arial"/>
          <w:sz w:val="22"/>
          <w:szCs w:val="22"/>
        </w:rPr>
      </w:pPr>
      <w:r w:rsidRPr="00E76103">
        <w:rPr>
          <w:rFonts w:ascii="Arial" w:eastAsia="Calibri" w:hAnsi="Arial" w:cs="Arial"/>
          <w:sz w:val="22"/>
          <w:szCs w:val="22"/>
        </w:rPr>
        <w:t>El artículo 5 de la “Norma Reglamentaria de los Artículos 136 y 137 del Estatuto Orgánico”, aprobada por la Asamblea Institucional Representativa en la Sesión Ordinaria 95-2018 del 03 de octubre de 2018, publicadas en la Gaceta 530 del 22 de octubre de 2018, indica:</w:t>
      </w:r>
    </w:p>
    <w:p w:rsidR="006B1B55" w:rsidRPr="00B511E8" w:rsidRDefault="006B1B55" w:rsidP="006B1B55">
      <w:pPr>
        <w:jc w:val="both"/>
        <w:rPr>
          <w:rFonts w:ascii="Arial" w:eastAsia="Calibri" w:hAnsi="Arial" w:cs="Arial"/>
          <w:sz w:val="16"/>
          <w:szCs w:val="16"/>
        </w:rPr>
      </w:pPr>
    </w:p>
    <w:p w:rsidR="006B1B55" w:rsidRPr="00E76103" w:rsidRDefault="006B1B55" w:rsidP="006B1B55">
      <w:pPr>
        <w:pStyle w:val="Default"/>
        <w:ind w:left="851" w:right="333"/>
        <w:jc w:val="both"/>
        <w:rPr>
          <w:i/>
          <w:sz w:val="20"/>
          <w:szCs w:val="20"/>
        </w:rPr>
      </w:pPr>
      <w:r w:rsidRPr="00E76103">
        <w:rPr>
          <w:i/>
          <w:sz w:val="20"/>
          <w:szCs w:val="20"/>
          <w:lang w:val="es-ES"/>
        </w:rPr>
        <w:t>“</w:t>
      </w:r>
      <w:r w:rsidRPr="00E76103">
        <w:rPr>
          <w:i/>
          <w:sz w:val="20"/>
          <w:szCs w:val="20"/>
        </w:rPr>
        <w:t>Artículo 5.</w:t>
      </w:r>
    </w:p>
    <w:p w:rsidR="006B1B55" w:rsidRPr="00E76103" w:rsidRDefault="006B1B55" w:rsidP="006B1B55">
      <w:pPr>
        <w:pStyle w:val="Default"/>
        <w:ind w:left="851" w:right="333"/>
        <w:jc w:val="both"/>
        <w:rPr>
          <w:i/>
          <w:sz w:val="20"/>
          <w:szCs w:val="20"/>
        </w:rPr>
      </w:pPr>
      <w:r w:rsidRPr="00E76103">
        <w:rPr>
          <w:i/>
          <w:sz w:val="20"/>
          <w:szCs w:val="20"/>
        </w:rPr>
        <w:t>El plazo para interponer los recursos ordinarios de revocatoria o de apelación es de cinco (5) días hábiles, contados a partir del día hábil siguiente a la fecha en que se ha notificado o publicado el acuerdo o la resolución objeto del recurso. El órgano recurrido cuenta con un plazo perentorio de 10 días hábiles para resolver el recurso interpuesto, salvo que haya norma especial que disponga otro plazo.</w:t>
      </w:r>
    </w:p>
    <w:p w:rsidR="006B1B55" w:rsidRPr="00E76103" w:rsidRDefault="006B1B55" w:rsidP="006B1B55">
      <w:pPr>
        <w:pStyle w:val="Default"/>
        <w:ind w:left="851" w:right="333"/>
        <w:jc w:val="both"/>
        <w:rPr>
          <w:i/>
          <w:sz w:val="20"/>
          <w:szCs w:val="20"/>
        </w:rPr>
      </w:pPr>
      <w:r w:rsidRPr="00E76103">
        <w:rPr>
          <w:i/>
          <w:sz w:val="20"/>
          <w:szCs w:val="20"/>
        </w:rPr>
        <w:t>En caso que el recurrente opte por interponer en el mismo acto el recurso de revocatoria y en subsidio el de apelación, el órgano de primera instancia, salvo que acoja totalmente el recurso presentado en su contra, contará con un plazo de dos (2) días hábiles para trasladar a su superior jerárquico la resolución o acuerdo con que resuelve el recurso de revocatoria, junto al expediente que se formó en la atención del caso, a partir del día hábil siguiente al dictado de su resolución”.</w:t>
      </w:r>
    </w:p>
    <w:p w:rsidR="006B1B55" w:rsidRPr="00E76103" w:rsidRDefault="006B1B55" w:rsidP="006B1B55">
      <w:pPr>
        <w:jc w:val="both"/>
        <w:rPr>
          <w:rFonts w:ascii="Arial" w:eastAsia="Calibri" w:hAnsi="Arial" w:cs="Arial"/>
          <w:sz w:val="22"/>
          <w:szCs w:val="22"/>
        </w:rPr>
      </w:pPr>
    </w:p>
    <w:p w:rsidR="006B1B55" w:rsidRPr="00E76103" w:rsidRDefault="006B1B55" w:rsidP="006B1B55">
      <w:pPr>
        <w:jc w:val="both"/>
        <w:rPr>
          <w:rFonts w:ascii="Arial" w:eastAsia="Calibri" w:hAnsi="Arial" w:cs="Arial"/>
          <w:b/>
          <w:bCs/>
          <w:lang w:val="es-CR" w:eastAsia="en-US"/>
        </w:rPr>
      </w:pPr>
      <w:r w:rsidRPr="00E76103">
        <w:rPr>
          <w:rFonts w:ascii="Arial" w:eastAsia="Calibri" w:hAnsi="Arial" w:cs="Arial"/>
          <w:b/>
          <w:bCs/>
          <w:lang w:val="es-CR" w:eastAsia="en-US"/>
        </w:rPr>
        <w:t>CONSIDERANDO QUE:</w:t>
      </w:r>
    </w:p>
    <w:p w:rsidR="006B1B55" w:rsidRPr="00E76103" w:rsidRDefault="006B1B55" w:rsidP="006B1B55">
      <w:pPr>
        <w:jc w:val="both"/>
        <w:rPr>
          <w:rFonts w:ascii="Arial" w:eastAsia="Calibri" w:hAnsi="Arial" w:cs="Arial"/>
          <w:sz w:val="22"/>
          <w:szCs w:val="22"/>
        </w:rPr>
      </w:pPr>
    </w:p>
    <w:p w:rsidR="006B1B55" w:rsidRPr="00E76103" w:rsidRDefault="006B1B55" w:rsidP="006B1B55">
      <w:pPr>
        <w:pStyle w:val="Prrafodelista"/>
        <w:numPr>
          <w:ilvl w:val="0"/>
          <w:numId w:val="5"/>
        </w:numPr>
        <w:contextualSpacing/>
        <w:jc w:val="both"/>
        <w:rPr>
          <w:rFonts w:ascii="Arial" w:eastAsia="Calibri" w:hAnsi="Arial" w:cs="Arial"/>
          <w:sz w:val="22"/>
          <w:szCs w:val="22"/>
        </w:rPr>
      </w:pPr>
      <w:r w:rsidRPr="00E76103">
        <w:rPr>
          <w:rFonts w:ascii="Arial" w:eastAsia="Calibri" w:hAnsi="Arial" w:cs="Arial"/>
          <w:sz w:val="22"/>
          <w:szCs w:val="22"/>
        </w:rPr>
        <w:t xml:space="preserve">En el acuerdo adoptado por el Consejo Institucional en la </w:t>
      </w:r>
      <w:r>
        <w:rPr>
          <w:rFonts w:ascii="Arial" w:eastAsia="Calibri" w:hAnsi="Arial" w:cs="Arial"/>
          <w:sz w:val="22"/>
          <w:szCs w:val="22"/>
        </w:rPr>
        <w:t>Sesión Ordinaria No. 3096</w:t>
      </w:r>
      <w:r w:rsidRPr="00B511E8">
        <w:rPr>
          <w:rFonts w:ascii="Arial" w:eastAsia="Calibri" w:hAnsi="Arial" w:cs="Arial"/>
          <w:sz w:val="22"/>
          <w:szCs w:val="22"/>
        </w:rPr>
        <w:t xml:space="preserve">, Artículo </w:t>
      </w:r>
      <w:r>
        <w:rPr>
          <w:rFonts w:ascii="Arial" w:eastAsia="Calibri" w:hAnsi="Arial" w:cs="Arial"/>
          <w:sz w:val="22"/>
          <w:szCs w:val="22"/>
        </w:rPr>
        <w:t>12</w:t>
      </w:r>
      <w:r w:rsidRPr="00B511E8">
        <w:rPr>
          <w:rFonts w:ascii="Arial" w:eastAsia="Calibri" w:hAnsi="Arial" w:cs="Arial"/>
          <w:sz w:val="22"/>
          <w:szCs w:val="22"/>
        </w:rPr>
        <w:t xml:space="preserve">, del </w:t>
      </w:r>
      <w:r>
        <w:rPr>
          <w:rFonts w:ascii="Arial" w:eastAsia="Calibri" w:hAnsi="Arial" w:cs="Arial"/>
          <w:sz w:val="22"/>
          <w:szCs w:val="22"/>
        </w:rPr>
        <w:t>07</w:t>
      </w:r>
      <w:r w:rsidRPr="00B511E8">
        <w:rPr>
          <w:rFonts w:ascii="Arial" w:eastAsia="Calibri" w:hAnsi="Arial" w:cs="Arial"/>
          <w:sz w:val="22"/>
          <w:szCs w:val="22"/>
        </w:rPr>
        <w:t xml:space="preserve"> de </w:t>
      </w:r>
      <w:r>
        <w:rPr>
          <w:rFonts w:ascii="Arial" w:eastAsia="Calibri" w:hAnsi="Arial" w:cs="Arial"/>
          <w:sz w:val="22"/>
          <w:szCs w:val="22"/>
        </w:rPr>
        <w:t>noviembre</w:t>
      </w:r>
      <w:r w:rsidRPr="00B511E8">
        <w:rPr>
          <w:rFonts w:ascii="Arial" w:eastAsia="Calibri" w:hAnsi="Arial" w:cs="Arial"/>
          <w:sz w:val="22"/>
          <w:szCs w:val="22"/>
        </w:rPr>
        <w:t xml:space="preserve"> de 2018</w:t>
      </w:r>
      <w:r w:rsidRPr="00E76103">
        <w:rPr>
          <w:rFonts w:ascii="Arial" w:eastAsia="Calibri" w:hAnsi="Arial" w:cs="Arial"/>
          <w:sz w:val="22"/>
          <w:szCs w:val="22"/>
        </w:rPr>
        <w:t>, no se especificaron los recursos que admite, ni los plazos de presentación.</w:t>
      </w:r>
    </w:p>
    <w:p w:rsidR="006B1B55" w:rsidRPr="00E76103" w:rsidRDefault="006B1B55" w:rsidP="006B1B55">
      <w:pPr>
        <w:jc w:val="both"/>
        <w:rPr>
          <w:rFonts w:ascii="Arial" w:eastAsia="Calibri" w:hAnsi="Arial" w:cs="Arial"/>
          <w:sz w:val="22"/>
          <w:szCs w:val="22"/>
        </w:rPr>
      </w:pPr>
    </w:p>
    <w:p w:rsidR="006B1B55" w:rsidRPr="00E76103" w:rsidRDefault="006B1B55" w:rsidP="006B1B55">
      <w:pPr>
        <w:pStyle w:val="Prrafodelista"/>
        <w:numPr>
          <w:ilvl w:val="0"/>
          <w:numId w:val="5"/>
        </w:numPr>
        <w:contextualSpacing/>
        <w:jc w:val="both"/>
        <w:rPr>
          <w:rFonts w:ascii="Arial" w:eastAsia="Calibri" w:hAnsi="Arial" w:cs="Arial"/>
          <w:sz w:val="22"/>
          <w:szCs w:val="22"/>
          <w:lang w:val="es-CR"/>
        </w:rPr>
      </w:pPr>
      <w:r w:rsidRPr="00E76103">
        <w:rPr>
          <w:rFonts w:ascii="Arial" w:eastAsia="Calibri" w:hAnsi="Arial" w:cs="Arial"/>
          <w:sz w:val="22"/>
          <w:szCs w:val="22"/>
          <w:lang w:val="es-CR"/>
        </w:rPr>
        <w:t>El artículo 136 del Estatuto Orgánico, permite subsanar el que no se haya indicado el tipo de recursos y los plazos para interponerlos, con el propósito de recuperar la validez del acto o resolución.</w:t>
      </w:r>
    </w:p>
    <w:p w:rsidR="006B1B55" w:rsidRPr="00E76103" w:rsidRDefault="006B1B55" w:rsidP="006B1B55">
      <w:pPr>
        <w:pStyle w:val="Prrafodelista"/>
        <w:rPr>
          <w:rFonts w:ascii="Arial" w:eastAsia="Calibri" w:hAnsi="Arial" w:cs="Arial"/>
          <w:sz w:val="22"/>
          <w:szCs w:val="22"/>
          <w:lang w:val="es-CR"/>
        </w:rPr>
      </w:pPr>
    </w:p>
    <w:p w:rsidR="006B1B55" w:rsidRPr="00E76103" w:rsidRDefault="006B1B55" w:rsidP="006B1B55">
      <w:pPr>
        <w:jc w:val="both"/>
        <w:rPr>
          <w:rFonts w:ascii="Arial" w:eastAsia="Calibri" w:hAnsi="Arial" w:cs="Arial"/>
          <w:b/>
          <w:sz w:val="22"/>
          <w:szCs w:val="22"/>
          <w:lang w:val="es-CR"/>
        </w:rPr>
      </w:pPr>
      <w:r w:rsidRPr="00E76103">
        <w:rPr>
          <w:rFonts w:ascii="Arial" w:eastAsia="Calibri" w:hAnsi="Arial" w:cs="Arial"/>
          <w:b/>
          <w:sz w:val="22"/>
          <w:szCs w:val="22"/>
          <w:lang w:val="es-CR"/>
        </w:rPr>
        <w:t>SE</w:t>
      </w:r>
      <w:r>
        <w:rPr>
          <w:rFonts w:ascii="Arial" w:eastAsia="Calibri" w:hAnsi="Arial" w:cs="Arial"/>
          <w:b/>
          <w:sz w:val="22"/>
          <w:szCs w:val="22"/>
          <w:lang w:val="es-CR"/>
        </w:rPr>
        <w:t xml:space="preserve"> ACUERDA</w:t>
      </w:r>
      <w:r>
        <w:rPr>
          <w:rFonts w:ascii="Arial" w:eastAsia="Calibri" w:hAnsi="Arial" w:cs="Arial"/>
          <w:b/>
          <w:sz w:val="22"/>
          <w:szCs w:val="22"/>
          <w:lang w:val="es-CR"/>
        </w:rPr>
        <w:t>:</w:t>
      </w:r>
    </w:p>
    <w:p w:rsidR="006B1B55" w:rsidRPr="00342023" w:rsidRDefault="006B1B55" w:rsidP="006B1B55">
      <w:pPr>
        <w:pStyle w:val="Prrafodelista"/>
        <w:rPr>
          <w:rFonts w:ascii="Arial" w:eastAsia="Calibri" w:hAnsi="Arial" w:cs="Arial"/>
          <w:sz w:val="16"/>
          <w:szCs w:val="16"/>
          <w:lang w:val="es-CR"/>
        </w:rPr>
      </w:pPr>
    </w:p>
    <w:p w:rsidR="006B1B55" w:rsidRPr="00E76103" w:rsidRDefault="006B1B55" w:rsidP="006B1B55">
      <w:pPr>
        <w:pStyle w:val="Prrafodelista"/>
        <w:numPr>
          <w:ilvl w:val="0"/>
          <w:numId w:val="6"/>
        </w:numPr>
        <w:contextualSpacing/>
        <w:jc w:val="both"/>
        <w:rPr>
          <w:rFonts w:ascii="Arial" w:eastAsia="Calibri" w:hAnsi="Arial" w:cs="Arial"/>
          <w:sz w:val="22"/>
          <w:szCs w:val="22"/>
          <w:lang w:val="es-CR"/>
        </w:rPr>
      </w:pPr>
      <w:r w:rsidRPr="00E76103">
        <w:rPr>
          <w:rFonts w:ascii="Arial" w:eastAsia="Calibri" w:hAnsi="Arial" w:cs="Arial"/>
          <w:sz w:val="22"/>
          <w:szCs w:val="22"/>
          <w:lang w:val="es-CR"/>
        </w:rPr>
        <w:t xml:space="preserve">Subsanar la omisión de los recursos que pueden presentarse en contra del acuerdo de la </w:t>
      </w:r>
      <w:r>
        <w:rPr>
          <w:rFonts w:ascii="Arial" w:eastAsia="Calibri" w:hAnsi="Arial" w:cs="Arial"/>
          <w:sz w:val="22"/>
          <w:szCs w:val="22"/>
        </w:rPr>
        <w:t>Sesión Ordinaria No. 3096</w:t>
      </w:r>
      <w:r w:rsidRPr="00B511E8">
        <w:rPr>
          <w:rFonts w:ascii="Arial" w:eastAsia="Calibri" w:hAnsi="Arial" w:cs="Arial"/>
          <w:sz w:val="22"/>
          <w:szCs w:val="22"/>
        </w:rPr>
        <w:t xml:space="preserve">, Artículo </w:t>
      </w:r>
      <w:r>
        <w:rPr>
          <w:rFonts w:ascii="Arial" w:eastAsia="Calibri" w:hAnsi="Arial" w:cs="Arial"/>
          <w:sz w:val="22"/>
          <w:szCs w:val="22"/>
        </w:rPr>
        <w:t>12</w:t>
      </w:r>
      <w:r w:rsidRPr="00B511E8">
        <w:rPr>
          <w:rFonts w:ascii="Arial" w:eastAsia="Calibri" w:hAnsi="Arial" w:cs="Arial"/>
          <w:sz w:val="22"/>
          <w:szCs w:val="22"/>
        </w:rPr>
        <w:t xml:space="preserve">, del </w:t>
      </w:r>
      <w:r>
        <w:rPr>
          <w:rFonts w:ascii="Arial" w:eastAsia="Calibri" w:hAnsi="Arial" w:cs="Arial"/>
          <w:sz w:val="22"/>
          <w:szCs w:val="22"/>
        </w:rPr>
        <w:t>07</w:t>
      </w:r>
      <w:r w:rsidRPr="00B511E8">
        <w:rPr>
          <w:rFonts w:ascii="Arial" w:eastAsia="Calibri" w:hAnsi="Arial" w:cs="Arial"/>
          <w:sz w:val="22"/>
          <w:szCs w:val="22"/>
        </w:rPr>
        <w:t xml:space="preserve"> de </w:t>
      </w:r>
      <w:r>
        <w:rPr>
          <w:rFonts w:ascii="Arial" w:eastAsia="Calibri" w:hAnsi="Arial" w:cs="Arial"/>
          <w:sz w:val="22"/>
          <w:szCs w:val="22"/>
        </w:rPr>
        <w:t>noviembre</w:t>
      </w:r>
      <w:r w:rsidRPr="00B511E8">
        <w:rPr>
          <w:rFonts w:ascii="Arial" w:eastAsia="Calibri" w:hAnsi="Arial" w:cs="Arial"/>
          <w:sz w:val="22"/>
          <w:szCs w:val="22"/>
        </w:rPr>
        <w:t xml:space="preserve"> de 2018</w:t>
      </w:r>
      <w:r w:rsidRPr="00E76103">
        <w:rPr>
          <w:rFonts w:ascii="Arial" w:eastAsia="Calibri" w:hAnsi="Arial" w:cs="Arial"/>
          <w:sz w:val="22"/>
          <w:szCs w:val="22"/>
        </w:rPr>
        <w:t>, y los plazos para hacerlo, de manera que el acuerdo se lea de la siguiente manera:</w:t>
      </w:r>
    </w:p>
    <w:p w:rsidR="006B1B55" w:rsidRPr="00342023" w:rsidRDefault="006B1B55" w:rsidP="006B1B55">
      <w:pPr>
        <w:pStyle w:val="Prrafodelista"/>
        <w:rPr>
          <w:rFonts w:ascii="Arial" w:eastAsia="Calibri" w:hAnsi="Arial" w:cs="Arial"/>
          <w:sz w:val="16"/>
          <w:szCs w:val="16"/>
          <w:lang w:val="es-CR"/>
        </w:rPr>
      </w:pPr>
    </w:p>
    <w:p w:rsidR="006B1B55" w:rsidRPr="00754695" w:rsidRDefault="006B1B55" w:rsidP="006B1B55">
      <w:pPr>
        <w:tabs>
          <w:tab w:val="left" w:pos="3070"/>
        </w:tabs>
        <w:ind w:left="426"/>
        <w:contextualSpacing/>
        <w:jc w:val="both"/>
        <w:outlineLvl w:val="0"/>
        <w:rPr>
          <w:rFonts w:ascii="Arial" w:eastAsia="Cambria" w:hAnsi="Arial" w:cs="Arial"/>
          <w:b/>
          <w:lang w:val="es-ES_tradnl" w:eastAsia="en-US"/>
        </w:rPr>
      </w:pPr>
      <w:r w:rsidRPr="00754695">
        <w:rPr>
          <w:rFonts w:ascii="Arial" w:eastAsia="Cambria" w:hAnsi="Arial" w:cs="Arial"/>
          <w:b/>
          <w:lang w:val="es-ES_tradnl" w:eastAsia="en-US"/>
        </w:rPr>
        <w:t>RESULTANDO QUE:</w:t>
      </w:r>
    </w:p>
    <w:p w:rsidR="006B1B55" w:rsidRDefault="006B1B55" w:rsidP="006B1B55">
      <w:pPr>
        <w:pStyle w:val="Prrafodelista"/>
        <w:rPr>
          <w:rFonts w:ascii="Arial" w:eastAsia="Calibri" w:hAnsi="Arial" w:cs="Arial"/>
          <w:sz w:val="16"/>
          <w:szCs w:val="16"/>
          <w:lang w:val="es-CR"/>
        </w:rPr>
      </w:pPr>
    </w:p>
    <w:p w:rsidR="006B1B55" w:rsidRDefault="006B1B55" w:rsidP="006B1B55">
      <w:pPr>
        <w:pStyle w:val="Prrafodelista"/>
        <w:rPr>
          <w:rFonts w:ascii="Arial" w:eastAsia="Calibri" w:hAnsi="Arial" w:cs="Arial"/>
          <w:sz w:val="16"/>
          <w:szCs w:val="16"/>
          <w:lang w:val="es-CR"/>
        </w:rPr>
      </w:pPr>
    </w:p>
    <w:p w:rsidR="006B1B55" w:rsidRPr="00316A4D" w:rsidRDefault="006B1B55" w:rsidP="006B1B55">
      <w:pPr>
        <w:numPr>
          <w:ilvl w:val="0"/>
          <w:numId w:val="18"/>
        </w:numPr>
        <w:tabs>
          <w:tab w:val="clear" w:pos="825"/>
        </w:tabs>
        <w:ind w:left="709"/>
        <w:jc w:val="both"/>
        <w:rPr>
          <w:rFonts w:ascii="Arial" w:hAnsi="Arial"/>
          <w:lang w:val="es-CR"/>
        </w:rPr>
      </w:pPr>
      <w:r w:rsidRPr="00316A4D">
        <w:rPr>
          <w:rFonts w:ascii="Arial" w:hAnsi="Arial"/>
          <w:lang w:val="es-CR"/>
        </w:rPr>
        <w:t>El Estatuto Orgánico del Instituto Tecnológico de Costa Rica</w:t>
      </w:r>
      <w:r>
        <w:rPr>
          <w:rFonts w:ascii="Arial" w:hAnsi="Arial"/>
          <w:lang w:val="es-CR"/>
        </w:rPr>
        <w:t xml:space="preserve">, </w:t>
      </w:r>
      <w:r w:rsidRPr="00316A4D">
        <w:rPr>
          <w:rFonts w:ascii="Arial" w:hAnsi="Arial"/>
          <w:lang w:val="es-CR"/>
        </w:rPr>
        <w:t xml:space="preserve">en su </w:t>
      </w:r>
      <w:r>
        <w:rPr>
          <w:rFonts w:ascii="Arial" w:hAnsi="Arial"/>
          <w:lang w:val="es-CR"/>
        </w:rPr>
        <w:t>A</w:t>
      </w:r>
      <w:r w:rsidRPr="00316A4D">
        <w:rPr>
          <w:rFonts w:ascii="Arial" w:hAnsi="Arial"/>
          <w:lang w:val="es-CR"/>
        </w:rPr>
        <w:t>rtículo 18, señala:</w:t>
      </w:r>
    </w:p>
    <w:p w:rsidR="006B1B55" w:rsidRPr="00316A4D" w:rsidRDefault="006B1B55" w:rsidP="006B1B55">
      <w:pPr>
        <w:jc w:val="both"/>
        <w:rPr>
          <w:rFonts w:ascii="Arial" w:hAnsi="Arial"/>
          <w:sz w:val="16"/>
          <w:szCs w:val="16"/>
          <w:lang w:val="es-CR"/>
        </w:rPr>
      </w:pPr>
    </w:p>
    <w:p w:rsidR="006B1B55" w:rsidRPr="00316A4D" w:rsidRDefault="006B1B55" w:rsidP="006B1B55">
      <w:pPr>
        <w:overflowPunct w:val="0"/>
        <w:autoSpaceDE w:val="0"/>
        <w:autoSpaceDN w:val="0"/>
        <w:adjustRightInd w:val="0"/>
        <w:ind w:left="1276" w:right="618" w:hanging="426"/>
        <w:jc w:val="both"/>
        <w:textAlignment w:val="baseline"/>
        <w:rPr>
          <w:rFonts w:ascii="Arial" w:hAnsi="Arial" w:cs="Arial"/>
          <w:i/>
          <w:sz w:val="22"/>
          <w:szCs w:val="22"/>
          <w:lang w:val="es-CR"/>
        </w:rPr>
      </w:pPr>
      <w:r w:rsidRPr="00316A4D">
        <w:rPr>
          <w:rFonts w:ascii="Arial" w:hAnsi="Arial" w:cs="Arial"/>
          <w:i/>
          <w:sz w:val="22"/>
          <w:szCs w:val="22"/>
          <w:lang w:val="es-CR"/>
        </w:rPr>
        <w:t>“Son funciones del Consejo Institucional:</w:t>
      </w:r>
    </w:p>
    <w:p w:rsidR="006B1B55" w:rsidRPr="00316A4D" w:rsidRDefault="006B1B55" w:rsidP="006B1B55">
      <w:pPr>
        <w:overflowPunct w:val="0"/>
        <w:autoSpaceDE w:val="0"/>
        <w:autoSpaceDN w:val="0"/>
        <w:adjustRightInd w:val="0"/>
        <w:ind w:left="1276" w:right="618" w:hanging="426"/>
        <w:jc w:val="both"/>
        <w:textAlignment w:val="baseline"/>
        <w:rPr>
          <w:rFonts w:ascii="Arial" w:hAnsi="Arial" w:cs="Arial"/>
          <w:i/>
          <w:sz w:val="22"/>
          <w:szCs w:val="22"/>
          <w:lang w:val="es-CR"/>
        </w:rPr>
      </w:pPr>
      <w:r w:rsidRPr="00316A4D">
        <w:rPr>
          <w:rFonts w:ascii="Arial" w:hAnsi="Arial" w:cs="Arial"/>
          <w:i/>
          <w:sz w:val="22"/>
          <w:szCs w:val="22"/>
          <w:lang w:val="es-CR"/>
        </w:rPr>
        <w:t>…</w:t>
      </w:r>
    </w:p>
    <w:p w:rsidR="006B1B55" w:rsidRPr="00316A4D" w:rsidRDefault="006B1B55" w:rsidP="006B1B55">
      <w:pPr>
        <w:overflowPunct w:val="0"/>
        <w:autoSpaceDE w:val="0"/>
        <w:autoSpaceDN w:val="0"/>
        <w:adjustRightInd w:val="0"/>
        <w:ind w:left="1276" w:right="618" w:hanging="426"/>
        <w:jc w:val="both"/>
        <w:textAlignment w:val="baseline"/>
        <w:rPr>
          <w:rFonts w:ascii="Arial" w:hAnsi="Arial" w:cs="Arial"/>
          <w:i/>
          <w:sz w:val="22"/>
          <w:szCs w:val="22"/>
          <w:lang w:val="es-CR"/>
        </w:rPr>
      </w:pPr>
      <w:r w:rsidRPr="00316A4D">
        <w:rPr>
          <w:rFonts w:ascii="Arial" w:hAnsi="Arial" w:cs="Arial"/>
          <w:i/>
          <w:sz w:val="22"/>
          <w:szCs w:val="22"/>
          <w:lang w:val="es-CR"/>
        </w:rPr>
        <w:t>f.</w:t>
      </w:r>
      <w:r w:rsidRPr="00316A4D">
        <w:rPr>
          <w:rFonts w:ascii="Arial" w:hAnsi="Arial" w:cs="Arial"/>
          <w:i/>
          <w:sz w:val="22"/>
          <w:szCs w:val="22"/>
          <w:lang w:val="es-CR"/>
        </w:rPr>
        <w:tab/>
        <w:t>Aprobar, promulgar y modificar los reglamentos generales necesarios para el funcionamiento del Instituto, así como los suyos propios, excepto aquellos que regulen el funcionamiento de la Asamblea Institucional Representativa y del Congreso Institucional.</w:t>
      </w:r>
    </w:p>
    <w:p w:rsidR="006B1B55" w:rsidRPr="00316A4D" w:rsidRDefault="006B1B55" w:rsidP="006B1B55">
      <w:pPr>
        <w:overflowPunct w:val="0"/>
        <w:autoSpaceDE w:val="0"/>
        <w:autoSpaceDN w:val="0"/>
        <w:adjustRightInd w:val="0"/>
        <w:ind w:right="618"/>
        <w:jc w:val="both"/>
        <w:textAlignment w:val="baseline"/>
        <w:rPr>
          <w:rFonts w:cs="Arial"/>
          <w:i/>
          <w:sz w:val="20"/>
          <w:szCs w:val="20"/>
          <w:lang w:val="es-CR"/>
        </w:rPr>
      </w:pPr>
    </w:p>
    <w:p w:rsidR="006B1B55" w:rsidRPr="00316A4D" w:rsidRDefault="006B1B55" w:rsidP="006B1B55">
      <w:pPr>
        <w:numPr>
          <w:ilvl w:val="0"/>
          <w:numId w:val="18"/>
        </w:numPr>
        <w:tabs>
          <w:tab w:val="clear" w:pos="825"/>
        </w:tabs>
        <w:ind w:left="709"/>
        <w:jc w:val="both"/>
        <w:rPr>
          <w:rFonts w:ascii="Arial" w:hAnsi="Arial"/>
          <w:lang w:val="es-CR"/>
        </w:rPr>
      </w:pPr>
      <w:r w:rsidRPr="00316A4D">
        <w:rPr>
          <w:rFonts w:ascii="Arial" w:hAnsi="Arial"/>
          <w:lang w:val="es-CR"/>
        </w:rPr>
        <w:t>El Consejo Institucional aprobó en la Sesión No. 2755, artículo 8, del 8 de marzo de 2012, la conformación de dos Comisiones Especiales para la revisión del Reglamento de Carrera Profesional del Instituto Tecnológico de Costa Rica y sus Reformas y la generación de dos propuestas de reglamento: uno para normar carrera académica y otro para la carrera profesional de personal de apoyo a la academia.</w:t>
      </w:r>
    </w:p>
    <w:p w:rsidR="006B1B55" w:rsidRPr="00316A4D" w:rsidRDefault="006B1B55" w:rsidP="006B1B55">
      <w:pPr>
        <w:jc w:val="both"/>
        <w:rPr>
          <w:rFonts w:ascii="Arial" w:hAnsi="Arial" w:cs="Arial"/>
          <w:sz w:val="16"/>
          <w:szCs w:val="16"/>
          <w:lang w:val="es-ES_tradnl"/>
        </w:rPr>
      </w:pPr>
    </w:p>
    <w:p w:rsidR="006B1B55" w:rsidRPr="00316A4D" w:rsidRDefault="006B1B55" w:rsidP="006B1B55">
      <w:pPr>
        <w:numPr>
          <w:ilvl w:val="0"/>
          <w:numId w:val="18"/>
        </w:numPr>
        <w:tabs>
          <w:tab w:val="clear" w:pos="825"/>
        </w:tabs>
        <w:ind w:left="709"/>
        <w:jc w:val="both"/>
        <w:rPr>
          <w:rFonts w:ascii="Arial" w:hAnsi="Arial"/>
          <w:lang w:val="es-CR"/>
        </w:rPr>
      </w:pPr>
      <w:r w:rsidRPr="00316A4D">
        <w:rPr>
          <w:rFonts w:ascii="Arial" w:hAnsi="Arial"/>
          <w:lang w:val="es-CR"/>
        </w:rPr>
        <w:t>La Secretaría del Consejo Institucional recibió el oficio OPI-015-2015, con fecha de recibido 16 de febrero de 2015, suscrito por la MAU. Tatiana Fernández Martín, Directora de la Oficina de Planificación Institucional, dirigido al Ing. Alexander Valerín Castro, Coordinador de la Comisión de Planificación y Administración, en el cual remite propuesta de modificación al “Reglamento de Carrera Administrativa y de Apoyo a la Academia”.  Asimismo, remite los dictámenes de la Asesoría Legal, AL-769-2014 y de la Auditoría Interna AUDI-AS-024-2012, AUDI-AS-021-2014 y AUDI-081-2014.</w:t>
      </w:r>
    </w:p>
    <w:p w:rsidR="006B1B55" w:rsidRPr="00316A4D" w:rsidRDefault="006B1B55" w:rsidP="006B1B55">
      <w:pPr>
        <w:overflowPunct w:val="0"/>
        <w:autoSpaceDE w:val="0"/>
        <w:autoSpaceDN w:val="0"/>
        <w:adjustRightInd w:val="0"/>
        <w:ind w:right="618"/>
        <w:jc w:val="both"/>
        <w:textAlignment w:val="baseline"/>
        <w:rPr>
          <w:rFonts w:cs="Arial"/>
          <w:sz w:val="20"/>
          <w:szCs w:val="20"/>
          <w:lang w:val="es-ES_tradnl"/>
        </w:rPr>
      </w:pPr>
    </w:p>
    <w:p w:rsidR="006B1B55" w:rsidRPr="00316A4D" w:rsidRDefault="006B1B55" w:rsidP="006B1B55">
      <w:pPr>
        <w:numPr>
          <w:ilvl w:val="0"/>
          <w:numId w:val="18"/>
        </w:numPr>
        <w:tabs>
          <w:tab w:val="clear" w:pos="825"/>
        </w:tabs>
        <w:ind w:left="709"/>
        <w:jc w:val="both"/>
        <w:rPr>
          <w:rFonts w:ascii="Arial" w:hAnsi="Arial" w:cs="Arial"/>
          <w:lang w:val="es-ES_tradnl"/>
        </w:rPr>
      </w:pPr>
      <w:r w:rsidRPr="00316A4D">
        <w:rPr>
          <w:rFonts w:ascii="Arial" w:hAnsi="Arial" w:cs="Arial"/>
          <w:lang w:val="es-ES_tradnl"/>
        </w:rPr>
        <w:t xml:space="preserve">El Consejo Institucional, en la Sesión Ordinaria No. 3078 del miércoles 27 de junio de 2018, </w:t>
      </w:r>
      <w:r w:rsidRPr="00BD09BC">
        <w:rPr>
          <w:rFonts w:ascii="Arial" w:hAnsi="Arial"/>
          <w:lang w:val="es-CR"/>
        </w:rPr>
        <w:t>artículo</w:t>
      </w:r>
      <w:r w:rsidRPr="00316A4D">
        <w:rPr>
          <w:rFonts w:ascii="Arial" w:hAnsi="Arial" w:cs="Arial"/>
          <w:lang w:val="es-ES_tradnl"/>
        </w:rPr>
        <w:t xml:space="preserve"> 12, tomó el acuerdo de someter a </w:t>
      </w:r>
      <w:r w:rsidRPr="00316A4D">
        <w:rPr>
          <w:rFonts w:ascii="Arial" w:hAnsi="Arial" w:cs="Arial"/>
        </w:rPr>
        <w:t>consulta de la Comunidad Institucional y a la AFITEC la propuesta de “Reglamento de Carrera de Méritos del ITCR”</w:t>
      </w:r>
      <w:r w:rsidRPr="00316A4D">
        <w:rPr>
          <w:rFonts w:ascii="Arial" w:hAnsi="Arial" w:cs="Arial"/>
          <w:lang w:val="es-ES_tradnl"/>
        </w:rPr>
        <w:t>.</w:t>
      </w:r>
    </w:p>
    <w:p w:rsidR="006B1B55" w:rsidRPr="00316A4D" w:rsidRDefault="006B1B55" w:rsidP="006B1B55">
      <w:pPr>
        <w:overflowPunct w:val="0"/>
        <w:autoSpaceDE w:val="0"/>
        <w:autoSpaceDN w:val="0"/>
        <w:adjustRightInd w:val="0"/>
        <w:ind w:right="618"/>
        <w:jc w:val="both"/>
        <w:textAlignment w:val="baseline"/>
        <w:rPr>
          <w:rFonts w:cs="Arial"/>
          <w:i/>
          <w:sz w:val="20"/>
          <w:szCs w:val="20"/>
          <w:lang w:val="es-ES_tradnl"/>
        </w:rPr>
      </w:pPr>
    </w:p>
    <w:p w:rsidR="006B1B55" w:rsidRPr="00316A4D" w:rsidRDefault="006B1B55" w:rsidP="006B1B55">
      <w:pPr>
        <w:tabs>
          <w:tab w:val="left" w:pos="3070"/>
        </w:tabs>
        <w:ind w:left="284"/>
        <w:contextualSpacing/>
        <w:jc w:val="both"/>
        <w:outlineLvl w:val="0"/>
        <w:rPr>
          <w:rFonts w:ascii="Arial" w:hAnsi="Arial" w:cs="Arial"/>
          <w:b/>
          <w:lang w:val="es-CR"/>
        </w:rPr>
      </w:pPr>
      <w:r w:rsidRPr="00316A4D">
        <w:rPr>
          <w:rFonts w:ascii="Arial" w:hAnsi="Arial" w:cs="Arial"/>
          <w:b/>
          <w:lang w:val="es-CR"/>
        </w:rPr>
        <w:t>CONSIDERANDO QUE:</w:t>
      </w:r>
    </w:p>
    <w:p w:rsidR="006B1B55" w:rsidRPr="00316A4D" w:rsidRDefault="006B1B55" w:rsidP="006B1B55">
      <w:pPr>
        <w:ind w:left="426"/>
        <w:jc w:val="both"/>
        <w:rPr>
          <w:rFonts w:ascii="Arial" w:hAnsi="Arial"/>
          <w:lang w:val="es-CR"/>
        </w:rPr>
      </w:pPr>
    </w:p>
    <w:p w:rsidR="006B1B55" w:rsidRPr="00316A4D" w:rsidRDefault="006B1B55" w:rsidP="006B1B55">
      <w:pPr>
        <w:numPr>
          <w:ilvl w:val="0"/>
          <w:numId w:val="17"/>
        </w:numPr>
        <w:tabs>
          <w:tab w:val="clear" w:pos="720"/>
        </w:tabs>
        <w:ind w:left="602"/>
        <w:jc w:val="both"/>
        <w:rPr>
          <w:rFonts w:ascii="Arial" w:hAnsi="Arial" w:cs="Arial"/>
          <w:lang w:val="es-ES_tradnl"/>
        </w:rPr>
      </w:pPr>
      <w:r w:rsidRPr="00316A4D">
        <w:rPr>
          <w:rFonts w:ascii="Arial" w:hAnsi="Arial" w:cs="Arial"/>
          <w:lang w:val="es-ES_tradnl"/>
        </w:rPr>
        <w:t>La Comisión de Planificación y Administración, en la reunión No. 610-2015, del 19 de febrero 2015, conoce la propuesta citada en el resultando segundo y discute la conveniencia de integrarla en un solo Reglamento, que abarque las siguientes tres normativas:</w:t>
      </w:r>
    </w:p>
    <w:p w:rsidR="006B1B55" w:rsidRPr="00316A4D" w:rsidRDefault="006B1B55" w:rsidP="006B1B55">
      <w:pPr>
        <w:ind w:left="851"/>
        <w:jc w:val="both"/>
        <w:rPr>
          <w:rFonts w:ascii="Arial" w:hAnsi="Arial" w:cs="Arial"/>
          <w:sz w:val="10"/>
          <w:szCs w:val="10"/>
          <w:lang w:val="es-ES_tradnl"/>
        </w:rPr>
      </w:pPr>
    </w:p>
    <w:p w:rsidR="006B1B55" w:rsidRPr="00316A4D" w:rsidRDefault="006B1B55" w:rsidP="006B1B55">
      <w:pPr>
        <w:ind w:left="851"/>
        <w:jc w:val="both"/>
        <w:rPr>
          <w:rFonts w:ascii="Arial" w:hAnsi="Arial" w:cs="Arial"/>
          <w:lang w:val="es-ES_tradnl"/>
        </w:rPr>
      </w:pPr>
      <w:r w:rsidRPr="00316A4D">
        <w:rPr>
          <w:rFonts w:ascii="Arial" w:hAnsi="Arial" w:cs="Arial"/>
          <w:lang w:val="es-ES_tradnl"/>
        </w:rPr>
        <w:t>- Reglamento de Carrera Profesional Administrativa</w:t>
      </w:r>
    </w:p>
    <w:p w:rsidR="006B1B55" w:rsidRPr="00316A4D" w:rsidRDefault="006B1B55" w:rsidP="006B1B55">
      <w:pPr>
        <w:ind w:left="851"/>
        <w:jc w:val="both"/>
        <w:rPr>
          <w:rFonts w:ascii="Arial" w:hAnsi="Arial" w:cs="Arial"/>
          <w:lang w:val="es-ES_tradnl"/>
        </w:rPr>
      </w:pPr>
      <w:r w:rsidRPr="00316A4D">
        <w:rPr>
          <w:rFonts w:ascii="Arial" w:hAnsi="Arial" w:cs="Arial"/>
          <w:lang w:val="es-ES_tradnl"/>
        </w:rPr>
        <w:t>- Reglamento de Carrera de Apoyo a la Academia</w:t>
      </w:r>
    </w:p>
    <w:p w:rsidR="006B1B55" w:rsidRPr="00316A4D" w:rsidRDefault="006B1B55" w:rsidP="006B1B55">
      <w:pPr>
        <w:ind w:left="851"/>
        <w:jc w:val="both"/>
        <w:rPr>
          <w:rFonts w:ascii="Arial" w:hAnsi="Arial" w:cs="Arial"/>
          <w:lang w:val="es-ES_tradnl"/>
        </w:rPr>
      </w:pPr>
      <w:r w:rsidRPr="00316A4D">
        <w:rPr>
          <w:rFonts w:ascii="Arial" w:hAnsi="Arial" w:cs="Arial"/>
          <w:lang w:val="es-ES_tradnl"/>
        </w:rPr>
        <w:t xml:space="preserve">- Reglamento de Carrera Docente </w:t>
      </w:r>
    </w:p>
    <w:p w:rsidR="006B1B55" w:rsidRPr="00316A4D" w:rsidRDefault="006B1B55" w:rsidP="006B1B55">
      <w:pPr>
        <w:jc w:val="both"/>
        <w:rPr>
          <w:rFonts w:ascii="Arial" w:hAnsi="Arial" w:cs="Arial"/>
          <w:sz w:val="10"/>
          <w:szCs w:val="10"/>
          <w:lang w:val="es-ES_tradnl"/>
        </w:rPr>
      </w:pPr>
    </w:p>
    <w:p w:rsidR="006B1B55" w:rsidRPr="00316A4D" w:rsidRDefault="006B1B55" w:rsidP="006B1B55">
      <w:pPr>
        <w:ind w:left="851"/>
        <w:jc w:val="both"/>
        <w:rPr>
          <w:rFonts w:ascii="Arial" w:hAnsi="Arial" w:cs="Arial"/>
          <w:sz w:val="10"/>
          <w:szCs w:val="10"/>
          <w:lang w:val="es-ES_tradnl"/>
        </w:rPr>
      </w:pPr>
    </w:p>
    <w:p w:rsidR="006B1B55" w:rsidRPr="00316A4D" w:rsidRDefault="006B1B55" w:rsidP="006B1B55">
      <w:pPr>
        <w:numPr>
          <w:ilvl w:val="0"/>
          <w:numId w:val="17"/>
        </w:numPr>
        <w:tabs>
          <w:tab w:val="clear" w:pos="720"/>
        </w:tabs>
        <w:ind w:left="602"/>
        <w:jc w:val="both"/>
        <w:rPr>
          <w:rFonts w:ascii="Arial" w:hAnsi="Arial" w:cs="Arial"/>
          <w:lang w:val="es-ES_tradnl"/>
        </w:rPr>
      </w:pPr>
      <w:r w:rsidRPr="00316A4D">
        <w:rPr>
          <w:rFonts w:ascii="Arial" w:hAnsi="Arial" w:cs="Arial"/>
          <w:lang w:val="es-ES_tradnl"/>
        </w:rPr>
        <w:t>Por lo anterior, se dispone realizar un conversatorio con todas las partes involucradas para tratar el tema, y se invita a la próxima reunión, al MAE. William Vives Brenes, Vicerrector de Administración, a la Dra.  Hannia Rodríguez Mora, Directora del Departamento de Recursos Humanos, a la Licda.  Isabel Jiménez, al MBA. Harold Blanco y al MAE. Nelson Ortega, del Departamento de Recursos Humanos.  Asimismo, a la Ing. Johanna Blanco, Asistente del Consejo Institucional, quien tendrá a cargo la unificación de los reglamentos, en conjunto con el señor Alexander Valerin Castro</w:t>
      </w:r>
      <w:r>
        <w:rPr>
          <w:rFonts w:ascii="Arial" w:hAnsi="Arial" w:cs="Arial"/>
          <w:lang w:val="es-ES_tradnl"/>
        </w:rPr>
        <w:t>,</w:t>
      </w:r>
      <w:r w:rsidRPr="00316A4D">
        <w:rPr>
          <w:rFonts w:ascii="Arial" w:hAnsi="Arial" w:cs="Arial"/>
          <w:lang w:val="es-ES_tradnl"/>
        </w:rPr>
        <w:t xml:space="preserve"> para presentar una propuesta a la Comisión de Planificación y Administración.</w:t>
      </w:r>
    </w:p>
    <w:p w:rsidR="006B1B55" w:rsidRPr="00316A4D" w:rsidRDefault="006B1B55" w:rsidP="006B1B55">
      <w:pPr>
        <w:ind w:left="426"/>
        <w:jc w:val="both"/>
        <w:rPr>
          <w:rFonts w:ascii="Arial" w:hAnsi="Arial" w:cs="Arial"/>
          <w:b/>
          <w:sz w:val="20"/>
          <w:szCs w:val="20"/>
          <w:lang w:val="es-CR"/>
        </w:rPr>
      </w:pPr>
    </w:p>
    <w:p w:rsidR="006B1B55" w:rsidRPr="00316A4D" w:rsidRDefault="006B1B55" w:rsidP="006B1B55">
      <w:pPr>
        <w:numPr>
          <w:ilvl w:val="0"/>
          <w:numId w:val="17"/>
        </w:numPr>
        <w:tabs>
          <w:tab w:val="clear" w:pos="720"/>
        </w:tabs>
        <w:ind w:left="602"/>
        <w:jc w:val="both"/>
        <w:rPr>
          <w:rFonts w:ascii="Arial" w:hAnsi="Arial" w:cs="Arial"/>
          <w:lang w:val="es-ES_tradnl"/>
        </w:rPr>
      </w:pPr>
      <w:r w:rsidRPr="00316A4D">
        <w:rPr>
          <w:rFonts w:ascii="Arial" w:hAnsi="Arial" w:cs="Arial"/>
          <w:lang w:val="es-ES_tradnl"/>
        </w:rPr>
        <w:t xml:space="preserve">De acuerdo con lo anterior, en la reunión de la Comisión de Planificación y Administración No.  612-2015, realizada el 26 de febrero 2015, se recibe al MAE. William Vives Brenes, Vicerrector de Administración, al MBA. Harold Blanco, al MAE. Nelson Ortega, del Departamento de Recursos Humanos y a la Ing. Johanna Blanco, Asistente del Consejo Institucional. Se discute ampliamente el tema, se exponen </w:t>
      </w:r>
      <w:proofErr w:type="gramStart"/>
      <w:r w:rsidRPr="00316A4D">
        <w:rPr>
          <w:rFonts w:ascii="Arial" w:hAnsi="Arial" w:cs="Arial"/>
          <w:lang w:val="es-ES_tradnl"/>
        </w:rPr>
        <w:t>los pro</w:t>
      </w:r>
      <w:proofErr w:type="gramEnd"/>
      <w:r w:rsidRPr="00316A4D">
        <w:rPr>
          <w:rFonts w:ascii="Arial" w:hAnsi="Arial" w:cs="Arial"/>
          <w:lang w:val="es-ES_tradnl"/>
        </w:rPr>
        <w:t xml:space="preserve"> y contra de la propuesta y se deja el tema para análisis.</w:t>
      </w:r>
    </w:p>
    <w:p w:rsidR="006B1B55" w:rsidRPr="00316A4D" w:rsidRDefault="006B1B55" w:rsidP="006B1B55">
      <w:pPr>
        <w:ind w:left="242"/>
        <w:jc w:val="both"/>
        <w:rPr>
          <w:rFonts w:ascii="Arial" w:hAnsi="Arial" w:cs="Arial"/>
          <w:lang w:val="es-ES_tradnl"/>
        </w:rPr>
      </w:pPr>
    </w:p>
    <w:p w:rsidR="006B1B55" w:rsidRPr="00316A4D" w:rsidRDefault="006B1B55" w:rsidP="006B1B55">
      <w:pPr>
        <w:numPr>
          <w:ilvl w:val="0"/>
          <w:numId w:val="17"/>
        </w:numPr>
        <w:tabs>
          <w:tab w:val="clear" w:pos="720"/>
        </w:tabs>
        <w:ind w:left="602"/>
        <w:jc w:val="both"/>
        <w:rPr>
          <w:rFonts w:ascii="Arial" w:hAnsi="Arial" w:cs="Arial"/>
          <w:lang w:val="es-ES_tradnl"/>
        </w:rPr>
      </w:pPr>
      <w:r w:rsidRPr="00316A4D">
        <w:rPr>
          <w:rFonts w:ascii="Arial" w:hAnsi="Arial" w:cs="Arial"/>
          <w:lang w:val="es-ES_tradnl"/>
        </w:rPr>
        <w:t>En la reunión de la Comisión de Planificación y Administración No.  633-2015, realizada el 06 de agosto de 2015, el señor Alexander Valerín y la señora Johanna Blanco, exponen un informe de avance sobre la unificación de la propuesta de reglamentos:  Carrera Administrativa y de Apoyo a la Academia y Carrera Profesional Administrativa, sin embargo queda pendiente el de Carrera Docente, en razón de que no se había recibido una propuesta dirigida al Consejo Institucional; en esta reunión el señor Tomás Guzmán solicita dar un tiempo prudencial para la presentación del Reglamento Docente.</w:t>
      </w:r>
    </w:p>
    <w:p w:rsidR="006B1B55" w:rsidRPr="00316A4D" w:rsidRDefault="006B1B55" w:rsidP="006B1B55">
      <w:pPr>
        <w:ind w:left="708"/>
        <w:rPr>
          <w:rFonts w:ascii="Arial" w:hAnsi="Arial" w:cs="Arial"/>
          <w:lang w:val="es-ES_tradnl"/>
        </w:rPr>
      </w:pPr>
    </w:p>
    <w:p w:rsidR="006B1B55" w:rsidRPr="00316A4D" w:rsidRDefault="006B1B55" w:rsidP="006B1B55">
      <w:pPr>
        <w:numPr>
          <w:ilvl w:val="0"/>
          <w:numId w:val="17"/>
        </w:numPr>
        <w:tabs>
          <w:tab w:val="clear" w:pos="720"/>
        </w:tabs>
        <w:ind w:left="602"/>
        <w:jc w:val="both"/>
        <w:rPr>
          <w:rFonts w:ascii="Arial" w:hAnsi="Arial" w:cs="Arial"/>
          <w:lang w:val="es-ES_tradnl"/>
        </w:rPr>
      </w:pPr>
      <w:r w:rsidRPr="00316A4D">
        <w:rPr>
          <w:rFonts w:ascii="Arial" w:hAnsi="Arial" w:cs="Arial"/>
          <w:lang w:val="es-ES_tradnl"/>
        </w:rPr>
        <w:t>En la reunión de la Comisión de Planificación y Administración No.  733-2017, realizada el 10 de agosto de 2017, el señor Alexander Valerín y la señora Ingrid White Quesada, quien sustituye a la señora Johanna Blanco, presentan la versión final de la propuesta de unificación de los reglamentos: Carrera Administrativa y de Apoyo a la Academia, Carrera Profesional Administrativa</w:t>
      </w:r>
      <w:r w:rsidRPr="00316A4D">
        <w:rPr>
          <w:rFonts w:ascii="Arial" w:hAnsi="Arial" w:cs="Arial"/>
          <w:i/>
          <w:lang w:val="es-ES_tradnl"/>
        </w:rPr>
        <w:t>.</w:t>
      </w:r>
      <w:r w:rsidRPr="00316A4D">
        <w:rPr>
          <w:rFonts w:ascii="Arial" w:hAnsi="Arial" w:cs="Arial"/>
          <w:lang w:val="es-ES_tradnl"/>
        </w:rPr>
        <w:t xml:space="preserve">  En vista de que la Comisión Especial de Carrera Docente no presentó el producto, el señor Tomás Guzmán se abocó a la revisión de ese Reglamento</w:t>
      </w:r>
      <w:r>
        <w:rPr>
          <w:rFonts w:ascii="Arial" w:hAnsi="Arial" w:cs="Arial"/>
          <w:lang w:val="es-ES_tradnl"/>
        </w:rPr>
        <w:t>,</w:t>
      </w:r>
      <w:r w:rsidRPr="00316A4D">
        <w:rPr>
          <w:rFonts w:ascii="Arial" w:hAnsi="Arial" w:cs="Arial"/>
          <w:lang w:val="es-ES_tradnl"/>
        </w:rPr>
        <w:t xml:space="preserve"> en conjunto con la señora Ingrid White Quesada, Asistente Administrativa del Consejo Institucional.</w:t>
      </w:r>
    </w:p>
    <w:p w:rsidR="006B1B55" w:rsidRPr="00316A4D" w:rsidRDefault="006B1B55" w:rsidP="006B1B55">
      <w:pPr>
        <w:ind w:left="364"/>
        <w:rPr>
          <w:rFonts w:ascii="Arial" w:hAnsi="Arial" w:cs="Arial"/>
          <w:bCs/>
          <w:sz w:val="20"/>
          <w:szCs w:val="20"/>
          <w:lang w:val="es-CR"/>
        </w:rPr>
      </w:pPr>
    </w:p>
    <w:p w:rsidR="006B1B55" w:rsidRPr="00316A4D" w:rsidRDefault="006B1B55" w:rsidP="006B1B55">
      <w:pPr>
        <w:numPr>
          <w:ilvl w:val="0"/>
          <w:numId w:val="17"/>
        </w:numPr>
        <w:tabs>
          <w:tab w:val="clear" w:pos="720"/>
        </w:tabs>
        <w:ind w:left="602"/>
        <w:jc w:val="both"/>
        <w:rPr>
          <w:rFonts w:ascii="Arial" w:hAnsi="Arial" w:cs="Arial"/>
          <w:lang w:val="es-ES_tradnl"/>
        </w:rPr>
      </w:pPr>
      <w:r w:rsidRPr="00316A4D">
        <w:rPr>
          <w:rFonts w:ascii="Arial" w:hAnsi="Arial" w:cs="Arial"/>
          <w:lang w:val="es-ES_tradnl"/>
        </w:rPr>
        <w:t>Con el fin avanzar sobre el tema, la Comisión de Planificación y Administración</w:t>
      </w:r>
      <w:r>
        <w:rPr>
          <w:rFonts w:ascii="Arial" w:hAnsi="Arial" w:cs="Arial"/>
          <w:lang w:val="es-ES_tradnl"/>
        </w:rPr>
        <w:t>,</w:t>
      </w:r>
      <w:r w:rsidRPr="00316A4D">
        <w:rPr>
          <w:rFonts w:ascii="Arial" w:hAnsi="Arial" w:cs="Arial"/>
          <w:lang w:val="es-ES_tradnl"/>
        </w:rPr>
        <w:t xml:space="preserve"> dispone realizar reuniones de trabajo</w:t>
      </w:r>
      <w:r>
        <w:rPr>
          <w:rFonts w:ascii="Arial" w:hAnsi="Arial" w:cs="Arial"/>
          <w:lang w:val="es-ES_tradnl"/>
        </w:rPr>
        <w:t>,</w:t>
      </w:r>
      <w:r w:rsidRPr="00316A4D">
        <w:rPr>
          <w:rFonts w:ascii="Arial" w:hAnsi="Arial" w:cs="Arial"/>
          <w:lang w:val="es-ES_tradnl"/>
        </w:rPr>
        <w:t xml:space="preserve"> cuyo punto único sea el análisis de la propuesta.  En total se realizaron 8 reuniones, en las fechas que se indica en el siguiente cuadro:</w:t>
      </w:r>
    </w:p>
    <w:p w:rsidR="006B1B55" w:rsidRPr="00316A4D" w:rsidRDefault="006B1B55" w:rsidP="006B1B55">
      <w:pPr>
        <w:jc w:val="both"/>
        <w:rPr>
          <w:rFonts w:ascii="Arial" w:hAnsi="Arial" w:cs="Arial"/>
          <w:lang w:val="es-ES_tradnl"/>
        </w:rPr>
      </w:pPr>
      <w:r w:rsidRPr="00316A4D">
        <w:rPr>
          <w:rFonts w:ascii="Arial" w:hAnsi="Arial" w:cs="Arial"/>
          <w:lang w:val="es-ES_tradnl"/>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3132"/>
      </w:tblGrid>
      <w:tr w:rsidR="006B1B55" w:rsidRPr="00316A4D" w:rsidTr="00D425E8">
        <w:tc>
          <w:tcPr>
            <w:tcW w:w="2821" w:type="dxa"/>
            <w:shd w:val="clear" w:color="auto" w:fill="auto"/>
          </w:tcPr>
          <w:p w:rsidR="006B1B55" w:rsidRPr="00316A4D" w:rsidRDefault="006B1B55" w:rsidP="00D425E8">
            <w:pPr>
              <w:jc w:val="center"/>
              <w:rPr>
                <w:rFonts w:ascii="Arial" w:hAnsi="Arial" w:cs="Arial"/>
                <w:b/>
                <w:i/>
                <w:lang w:val="es-ES_tradnl"/>
              </w:rPr>
            </w:pPr>
            <w:r w:rsidRPr="00316A4D">
              <w:rPr>
                <w:rFonts w:ascii="Arial" w:hAnsi="Arial" w:cs="Arial"/>
                <w:b/>
                <w:i/>
                <w:lang w:val="es-ES_tradnl"/>
              </w:rPr>
              <w:t>Reunión</w:t>
            </w:r>
          </w:p>
        </w:tc>
        <w:tc>
          <w:tcPr>
            <w:tcW w:w="3132" w:type="dxa"/>
            <w:shd w:val="clear" w:color="auto" w:fill="auto"/>
          </w:tcPr>
          <w:p w:rsidR="006B1B55" w:rsidRPr="00316A4D" w:rsidRDefault="006B1B55" w:rsidP="00D425E8">
            <w:pPr>
              <w:jc w:val="center"/>
              <w:rPr>
                <w:rFonts w:ascii="Arial" w:hAnsi="Arial" w:cs="Arial"/>
                <w:b/>
                <w:i/>
                <w:lang w:val="es-ES_tradnl"/>
              </w:rPr>
            </w:pPr>
            <w:r w:rsidRPr="00316A4D">
              <w:rPr>
                <w:rFonts w:ascii="Arial" w:hAnsi="Arial" w:cs="Arial"/>
                <w:b/>
                <w:i/>
                <w:lang w:val="es-ES_tradnl"/>
              </w:rPr>
              <w:t>Fecha</w:t>
            </w:r>
          </w:p>
        </w:tc>
      </w:tr>
      <w:tr w:rsidR="006B1B55" w:rsidRPr="00316A4D" w:rsidTr="00D425E8">
        <w:tc>
          <w:tcPr>
            <w:tcW w:w="2821" w:type="dxa"/>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Reunión No. 1</w:t>
            </w:r>
          </w:p>
        </w:tc>
        <w:tc>
          <w:tcPr>
            <w:tcW w:w="3132" w:type="dxa"/>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21 de noviembre 2017</w:t>
            </w:r>
          </w:p>
        </w:tc>
      </w:tr>
      <w:tr w:rsidR="006B1B55" w:rsidRPr="00316A4D" w:rsidTr="00D425E8">
        <w:tc>
          <w:tcPr>
            <w:tcW w:w="2821" w:type="dxa"/>
            <w:shd w:val="clear" w:color="auto" w:fill="auto"/>
          </w:tcPr>
          <w:p w:rsidR="006B1B55" w:rsidRPr="00316A4D" w:rsidRDefault="006B1B55" w:rsidP="00D425E8">
            <w:pPr>
              <w:jc w:val="center"/>
              <w:rPr>
                <w:rFonts w:ascii="Arial" w:hAnsi="Arial" w:cs="Arial"/>
                <w:sz w:val="20"/>
                <w:szCs w:val="20"/>
                <w:lang w:val="es-CR"/>
              </w:rPr>
            </w:pPr>
            <w:r w:rsidRPr="00316A4D">
              <w:rPr>
                <w:rFonts w:ascii="Arial" w:hAnsi="Arial" w:cs="Arial"/>
                <w:sz w:val="22"/>
                <w:szCs w:val="22"/>
                <w:lang w:val="es-ES_tradnl"/>
              </w:rPr>
              <w:t>Reunión No. 2</w:t>
            </w:r>
          </w:p>
        </w:tc>
        <w:tc>
          <w:tcPr>
            <w:tcW w:w="3132" w:type="dxa"/>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04 de diciembre 2017</w:t>
            </w:r>
          </w:p>
        </w:tc>
      </w:tr>
      <w:tr w:rsidR="006B1B55" w:rsidRPr="00316A4D" w:rsidTr="00D425E8">
        <w:tc>
          <w:tcPr>
            <w:tcW w:w="2821" w:type="dxa"/>
            <w:shd w:val="clear" w:color="auto" w:fill="auto"/>
          </w:tcPr>
          <w:p w:rsidR="006B1B55" w:rsidRPr="00316A4D" w:rsidRDefault="006B1B55" w:rsidP="00D425E8">
            <w:pPr>
              <w:jc w:val="center"/>
              <w:rPr>
                <w:rFonts w:ascii="Arial" w:hAnsi="Arial" w:cs="Arial"/>
                <w:sz w:val="20"/>
                <w:szCs w:val="20"/>
                <w:lang w:val="es-CR"/>
              </w:rPr>
            </w:pPr>
            <w:r w:rsidRPr="00316A4D">
              <w:rPr>
                <w:rFonts w:ascii="Arial" w:hAnsi="Arial" w:cs="Arial"/>
                <w:sz w:val="22"/>
                <w:szCs w:val="22"/>
                <w:lang w:val="es-ES_tradnl"/>
              </w:rPr>
              <w:t>Reunión No. 3</w:t>
            </w:r>
          </w:p>
        </w:tc>
        <w:tc>
          <w:tcPr>
            <w:tcW w:w="3132" w:type="dxa"/>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22 de febrero 2018</w:t>
            </w:r>
          </w:p>
        </w:tc>
      </w:tr>
      <w:tr w:rsidR="006B1B55" w:rsidRPr="00316A4D" w:rsidTr="00D425E8">
        <w:tc>
          <w:tcPr>
            <w:tcW w:w="2821" w:type="dxa"/>
            <w:tcBorders>
              <w:bottom w:val="single" w:sz="4" w:space="0" w:color="auto"/>
            </w:tcBorders>
            <w:shd w:val="clear" w:color="auto" w:fill="auto"/>
          </w:tcPr>
          <w:p w:rsidR="006B1B55" w:rsidRPr="00316A4D" w:rsidRDefault="006B1B55" w:rsidP="00D425E8">
            <w:pPr>
              <w:jc w:val="center"/>
              <w:rPr>
                <w:rFonts w:ascii="Arial" w:hAnsi="Arial" w:cs="Arial"/>
                <w:sz w:val="20"/>
                <w:szCs w:val="20"/>
                <w:lang w:val="es-CR"/>
              </w:rPr>
            </w:pPr>
            <w:r w:rsidRPr="00316A4D">
              <w:rPr>
                <w:rFonts w:ascii="Arial" w:hAnsi="Arial" w:cs="Arial"/>
                <w:sz w:val="22"/>
                <w:szCs w:val="22"/>
                <w:lang w:val="es-ES_tradnl"/>
              </w:rPr>
              <w:t>Reunión No. 4</w:t>
            </w:r>
          </w:p>
        </w:tc>
        <w:tc>
          <w:tcPr>
            <w:tcW w:w="3132" w:type="dxa"/>
            <w:tcBorders>
              <w:bottom w:val="single" w:sz="4" w:space="0" w:color="auto"/>
            </w:tcBorders>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16 de marzo 2018</w:t>
            </w:r>
          </w:p>
        </w:tc>
      </w:tr>
      <w:tr w:rsidR="006B1B55" w:rsidRPr="00316A4D" w:rsidTr="00D425E8">
        <w:tc>
          <w:tcPr>
            <w:tcW w:w="2821" w:type="dxa"/>
            <w:tcBorders>
              <w:top w:val="single" w:sz="4" w:space="0" w:color="auto"/>
              <w:left w:val="single" w:sz="4" w:space="0" w:color="auto"/>
              <w:bottom w:val="single" w:sz="4" w:space="0" w:color="auto"/>
              <w:right w:val="single" w:sz="4" w:space="0" w:color="auto"/>
            </w:tcBorders>
            <w:shd w:val="clear" w:color="auto" w:fill="auto"/>
          </w:tcPr>
          <w:p w:rsidR="006B1B55" w:rsidRPr="00316A4D" w:rsidRDefault="006B1B55" w:rsidP="00D425E8">
            <w:pPr>
              <w:jc w:val="center"/>
              <w:rPr>
                <w:rFonts w:ascii="Arial" w:hAnsi="Arial" w:cs="Arial"/>
                <w:sz w:val="20"/>
                <w:szCs w:val="20"/>
                <w:lang w:val="es-CR"/>
              </w:rPr>
            </w:pPr>
            <w:r w:rsidRPr="00316A4D">
              <w:rPr>
                <w:rFonts w:ascii="Arial" w:hAnsi="Arial" w:cs="Arial"/>
                <w:sz w:val="22"/>
                <w:szCs w:val="22"/>
                <w:lang w:val="es-ES_tradnl"/>
              </w:rPr>
              <w:t>Reunión No. 5</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17 de abril 2018</w:t>
            </w:r>
          </w:p>
        </w:tc>
      </w:tr>
      <w:tr w:rsidR="006B1B55" w:rsidRPr="00316A4D" w:rsidTr="00D425E8">
        <w:tc>
          <w:tcPr>
            <w:tcW w:w="2821" w:type="dxa"/>
            <w:tcBorders>
              <w:top w:val="single" w:sz="4" w:space="0" w:color="auto"/>
              <w:left w:val="single" w:sz="4" w:space="0" w:color="auto"/>
              <w:bottom w:val="single" w:sz="4" w:space="0" w:color="auto"/>
              <w:right w:val="single" w:sz="4" w:space="0" w:color="auto"/>
            </w:tcBorders>
            <w:shd w:val="clear" w:color="auto" w:fill="auto"/>
          </w:tcPr>
          <w:p w:rsidR="006B1B55" w:rsidRPr="00316A4D" w:rsidRDefault="006B1B55" w:rsidP="00D425E8">
            <w:pPr>
              <w:jc w:val="center"/>
              <w:rPr>
                <w:rFonts w:ascii="Arial" w:hAnsi="Arial" w:cs="Arial"/>
                <w:sz w:val="20"/>
                <w:szCs w:val="20"/>
                <w:lang w:val="es-CR"/>
              </w:rPr>
            </w:pPr>
            <w:r w:rsidRPr="00316A4D">
              <w:rPr>
                <w:rFonts w:ascii="Arial" w:hAnsi="Arial" w:cs="Arial"/>
                <w:sz w:val="22"/>
                <w:szCs w:val="22"/>
                <w:lang w:val="es-ES_tradnl"/>
              </w:rPr>
              <w:t>Reunión No. 7</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23 de mayo 2018</w:t>
            </w:r>
          </w:p>
        </w:tc>
      </w:tr>
      <w:tr w:rsidR="006B1B55" w:rsidRPr="00316A4D" w:rsidTr="00D425E8">
        <w:tc>
          <w:tcPr>
            <w:tcW w:w="2821" w:type="dxa"/>
            <w:tcBorders>
              <w:top w:val="single" w:sz="4" w:space="0" w:color="auto"/>
              <w:left w:val="single" w:sz="4" w:space="0" w:color="auto"/>
              <w:bottom w:val="single" w:sz="4" w:space="0" w:color="auto"/>
              <w:right w:val="single" w:sz="4" w:space="0" w:color="auto"/>
            </w:tcBorders>
            <w:shd w:val="clear" w:color="auto" w:fill="auto"/>
          </w:tcPr>
          <w:p w:rsidR="006B1B55" w:rsidRPr="00316A4D" w:rsidRDefault="006B1B55" w:rsidP="00D425E8">
            <w:pPr>
              <w:jc w:val="center"/>
              <w:rPr>
                <w:rFonts w:ascii="Arial" w:hAnsi="Arial" w:cs="Arial"/>
                <w:sz w:val="20"/>
                <w:szCs w:val="20"/>
                <w:lang w:val="es-CR"/>
              </w:rPr>
            </w:pPr>
            <w:r w:rsidRPr="00316A4D">
              <w:rPr>
                <w:rFonts w:ascii="Arial" w:hAnsi="Arial" w:cs="Arial"/>
                <w:sz w:val="22"/>
                <w:szCs w:val="22"/>
                <w:lang w:val="es-ES_tradnl"/>
              </w:rPr>
              <w:t>Reunión No. 7</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28 de mayo 2018</w:t>
            </w:r>
          </w:p>
        </w:tc>
      </w:tr>
      <w:tr w:rsidR="006B1B55" w:rsidRPr="00316A4D" w:rsidTr="00D425E8">
        <w:tc>
          <w:tcPr>
            <w:tcW w:w="2821" w:type="dxa"/>
            <w:tcBorders>
              <w:top w:val="single" w:sz="4" w:space="0" w:color="auto"/>
              <w:left w:val="single" w:sz="4" w:space="0" w:color="auto"/>
              <w:bottom w:val="single" w:sz="4" w:space="0" w:color="auto"/>
              <w:right w:val="single" w:sz="4" w:space="0" w:color="auto"/>
            </w:tcBorders>
            <w:shd w:val="clear" w:color="auto" w:fill="auto"/>
          </w:tcPr>
          <w:p w:rsidR="006B1B55" w:rsidRPr="00316A4D" w:rsidRDefault="006B1B55" w:rsidP="00D425E8">
            <w:pPr>
              <w:jc w:val="center"/>
              <w:rPr>
                <w:rFonts w:ascii="Arial" w:hAnsi="Arial" w:cs="Arial"/>
                <w:sz w:val="20"/>
                <w:szCs w:val="20"/>
                <w:lang w:val="es-CR"/>
              </w:rPr>
            </w:pPr>
            <w:r w:rsidRPr="00316A4D">
              <w:rPr>
                <w:rFonts w:ascii="Arial" w:hAnsi="Arial" w:cs="Arial"/>
                <w:sz w:val="22"/>
                <w:szCs w:val="22"/>
                <w:lang w:val="es-ES_tradnl"/>
              </w:rPr>
              <w:t>Reunión No. 8</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6B1B55" w:rsidRPr="00316A4D" w:rsidRDefault="006B1B55" w:rsidP="00D425E8">
            <w:pPr>
              <w:jc w:val="center"/>
              <w:rPr>
                <w:rFonts w:ascii="Arial" w:hAnsi="Arial" w:cs="Arial"/>
                <w:sz w:val="22"/>
                <w:szCs w:val="22"/>
                <w:lang w:val="es-ES_tradnl"/>
              </w:rPr>
            </w:pPr>
            <w:r w:rsidRPr="00316A4D">
              <w:rPr>
                <w:rFonts w:ascii="Arial" w:hAnsi="Arial" w:cs="Arial"/>
                <w:sz w:val="22"/>
                <w:szCs w:val="22"/>
                <w:lang w:val="es-ES_tradnl"/>
              </w:rPr>
              <w:t>04 de junio 2018</w:t>
            </w:r>
          </w:p>
        </w:tc>
      </w:tr>
    </w:tbl>
    <w:p w:rsidR="006B1B55" w:rsidRDefault="006B1B55" w:rsidP="006B1B55">
      <w:pPr>
        <w:jc w:val="both"/>
        <w:rPr>
          <w:rFonts w:ascii="Arial" w:hAnsi="Arial" w:cs="Arial"/>
          <w:lang w:val="es-ES_tradnl"/>
        </w:rPr>
      </w:pPr>
    </w:p>
    <w:p w:rsidR="006B1B55" w:rsidRPr="00316A4D" w:rsidRDefault="006B1B55" w:rsidP="006B1B55">
      <w:pPr>
        <w:numPr>
          <w:ilvl w:val="0"/>
          <w:numId w:val="17"/>
        </w:numPr>
        <w:tabs>
          <w:tab w:val="clear" w:pos="720"/>
        </w:tabs>
        <w:ind w:left="630"/>
        <w:jc w:val="both"/>
        <w:rPr>
          <w:rFonts w:ascii="Arial" w:hAnsi="Arial" w:cs="Arial"/>
          <w:lang w:val="es-ES_tradnl"/>
        </w:rPr>
      </w:pPr>
      <w:r w:rsidRPr="00316A4D">
        <w:rPr>
          <w:rFonts w:ascii="Arial" w:hAnsi="Arial" w:cs="Arial"/>
          <w:lang w:val="es-ES_tradnl"/>
        </w:rPr>
        <w:t xml:space="preserve">El Consejo Institucional, en la Sesión Ordinaria No. 3078 del miércoles 27 de junio de 2018, artículo 12, acuerda someterla a </w:t>
      </w:r>
      <w:r w:rsidRPr="00316A4D">
        <w:rPr>
          <w:rFonts w:ascii="Arial" w:hAnsi="Arial" w:cs="Arial"/>
        </w:rPr>
        <w:t>consulta de la Comunidad Institucional y a la AFITEC la propuesta de “Reglamento de Carrera de Méritos del ITCR”</w:t>
      </w:r>
      <w:r w:rsidRPr="00316A4D">
        <w:rPr>
          <w:rFonts w:ascii="Arial" w:hAnsi="Arial" w:cs="Arial"/>
          <w:lang w:val="es-ES_tradnl"/>
        </w:rPr>
        <w:t>.</w:t>
      </w:r>
    </w:p>
    <w:p w:rsidR="006B1B55" w:rsidRPr="00316A4D" w:rsidRDefault="006B1B55" w:rsidP="006B1B55">
      <w:pPr>
        <w:tabs>
          <w:tab w:val="num" w:pos="360"/>
        </w:tabs>
        <w:ind w:left="360"/>
        <w:jc w:val="both"/>
        <w:rPr>
          <w:rFonts w:ascii="Arial" w:hAnsi="Arial" w:cs="Arial"/>
          <w:lang w:val="es-ES_tradnl"/>
        </w:rPr>
      </w:pPr>
    </w:p>
    <w:p w:rsidR="006B1B55" w:rsidRPr="00316A4D" w:rsidRDefault="006B1B55" w:rsidP="006B1B55">
      <w:pPr>
        <w:numPr>
          <w:ilvl w:val="0"/>
          <w:numId w:val="17"/>
        </w:numPr>
        <w:tabs>
          <w:tab w:val="clear" w:pos="720"/>
        </w:tabs>
        <w:ind w:left="630"/>
        <w:jc w:val="both"/>
        <w:rPr>
          <w:rFonts w:ascii="Arial" w:hAnsi="Arial" w:cs="Arial"/>
          <w:lang w:val="es-ES_tradnl"/>
        </w:rPr>
      </w:pPr>
      <w:r w:rsidRPr="00316A4D">
        <w:rPr>
          <w:rFonts w:ascii="Arial" w:hAnsi="Arial" w:cs="Arial"/>
          <w:lang w:val="es-ES_tradnl"/>
        </w:rPr>
        <w:t>La Secretar</w:t>
      </w:r>
      <w:r>
        <w:rPr>
          <w:rFonts w:ascii="Arial" w:hAnsi="Arial" w:cs="Arial"/>
          <w:lang w:val="es-ES_tradnl"/>
        </w:rPr>
        <w:t>í</w:t>
      </w:r>
      <w:r w:rsidRPr="00316A4D">
        <w:rPr>
          <w:rFonts w:ascii="Arial" w:hAnsi="Arial" w:cs="Arial"/>
          <w:lang w:val="es-ES_tradnl"/>
        </w:rPr>
        <w:t>a del Consejo Institucional</w:t>
      </w:r>
      <w:r>
        <w:rPr>
          <w:rFonts w:ascii="Arial" w:hAnsi="Arial" w:cs="Arial"/>
          <w:lang w:val="es-ES_tradnl"/>
        </w:rPr>
        <w:t>,</w:t>
      </w:r>
      <w:r w:rsidRPr="00316A4D">
        <w:rPr>
          <w:rFonts w:ascii="Arial" w:hAnsi="Arial" w:cs="Arial"/>
          <w:lang w:val="es-ES_tradnl"/>
        </w:rPr>
        <w:t xml:space="preserve"> recibe el oficio CCP-C-11-2018, suscrito por el Ing. Osvaldo Guerrero Castro, Presidente de la Comisión de Evaluación, en el que informa que la </w:t>
      </w:r>
      <w:r w:rsidRPr="00316A4D">
        <w:rPr>
          <w:rFonts w:ascii="Arial" w:hAnsi="Arial" w:cs="Arial"/>
          <w:lang w:val="es-CR"/>
        </w:rPr>
        <w:t>Comisión de Evaluación revisó en sus sesiones N°22-2018, N°23-2018 y N°24-2018, la documentación aportada y acordó</w:t>
      </w:r>
      <w:r w:rsidRPr="00316A4D">
        <w:rPr>
          <w:rFonts w:ascii="Arial" w:hAnsi="Arial" w:cs="Arial"/>
          <w:lang w:val="es-ES_tradnl"/>
        </w:rPr>
        <w:t>:</w:t>
      </w:r>
    </w:p>
    <w:p w:rsidR="006B1B55" w:rsidRPr="00316A4D" w:rsidRDefault="006B1B55" w:rsidP="006B1B55">
      <w:pPr>
        <w:ind w:left="360"/>
        <w:jc w:val="both"/>
        <w:rPr>
          <w:rFonts w:ascii="Arial" w:hAnsi="Arial" w:cs="Arial"/>
          <w:sz w:val="20"/>
          <w:szCs w:val="20"/>
          <w:lang w:val="es-CR"/>
        </w:rPr>
      </w:pPr>
    </w:p>
    <w:p w:rsidR="006B1B55" w:rsidRPr="00316A4D" w:rsidRDefault="006B1B55" w:rsidP="006B1B55">
      <w:pPr>
        <w:autoSpaceDE w:val="0"/>
        <w:autoSpaceDN w:val="0"/>
        <w:adjustRightInd w:val="0"/>
        <w:ind w:left="851" w:right="139"/>
        <w:jc w:val="both"/>
        <w:rPr>
          <w:rFonts w:ascii="Arial" w:hAnsi="Arial" w:cs="Arial"/>
          <w:i/>
          <w:sz w:val="20"/>
          <w:szCs w:val="20"/>
          <w:lang w:val="es-CR"/>
        </w:rPr>
      </w:pPr>
      <w:r w:rsidRPr="00316A4D">
        <w:rPr>
          <w:rFonts w:ascii="Arial" w:hAnsi="Arial" w:cs="Arial"/>
          <w:i/>
          <w:sz w:val="20"/>
          <w:szCs w:val="20"/>
          <w:lang w:val="es-CR"/>
        </w:rPr>
        <w:t xml:space="preserve">“…Rechazar de manera rotunda la propuesta en mención </w:t>
      </w:r>
    </w:p>
    <w:p w:rsidR="006B1B55" w:rsidRPr="00316A4D" w:rsidRDefault="006B1B55" w:rsidP="006B1B55">
      <w:pPr>
        <w:autoSpaceDE w:val="0"/>
        <w:autoSpaceDN w:val="0"/>
        <w:adjustRightInd w:val="0"/>
        <w:ind w:left="851" w:right="139"/>
        <w:jc w:val="both"/>
        <w:rPr>
          <w:rFonts w:ascii="Arial" w:hAnsi="Arial" w:cs="Arial"/>
          <w:i/>
          <w:sz w:val="20"/>
          <w:szCs w:val="20"/>
          <w:lang w:val="es-CR"/>
        </w:rPr>
      </w:pPr>
    </w:p>
    <w:p w:rsidR="006B1B55" w:rsidRPr="00316A4D" w:rsidRDefault="006B1B55" w:rsidP="006B1B55">
      <w:pPr>
        <w:autoSpaceDE w:val="0"/>
        <w:autoSpaceDN w:val="0"/>
        <w:adjustRightInd w:val="0"/>
        <w:ind w:left="851" w:right="139"/>
        <w:jc w:val="both"/>
        <w:rPr>
          <w:rFonts w:ascii="Arial" w:hAnsi="Arial" w:cs="Arial"/>
          <w:i/>
          <w:sz w:val="20"/>
          <w:szCs w:val="20"/>
          <w:lang w:val="es-CR"/>
        </w:rPr>
      </w:pPr>
      <w:r w:rsidRPr="00316A4D">
        <w:rPr>
          <w:rFonts w:ascii="Arial" w:hAnsi="Arial" w:cs="Arial"/>
          <w:i/>
          <w:sz w:val="20"/>
          <w:szCs w:val="20"/>
          <w:lang w:val="es-CR"/>
        </w:rPr>
        <w:t xml:space="preserve">Las justificaciones son las siguientes: </w:t>
      </w:r>
    </w:p>
    <w:p w:rsidR="006B1B55" w:rsidRPr="00316A4D" w:rsidRDefault="006B1B55" w:rsidP="006B1B55">
      <w:pPr>
        <w:autoSpaceDE w:val="0"/>
        <w:autoSpaceDN w:val="0"/>
        <w:adjustRightInd w:val="0"/>
        <w:ind w:left="851" w:right="139"/>
        <w:jc w:val="both"/>
        <w:rPr>
          <w:rFonts w:ascii="Arial" w:hAnsi="Arial" w:cs="Arial"/>
          <w:i/>
          <w:sz w:val="20"/>
          <w:szCs w:val="20"/>
          <w:lang w:val="es-CR"/>
        </w:rPr>
      </w:pPr>
    </w:p>
    <w:p w:rsidR="006B1B55" w:rsidRPr="00316A4D" w:rsidRDefault="006B1B55" w:rsidP="006B1B55">
      <w:pPr>
        <w:autoSpaceDE w:val="0"/>
        <w:autoSpaceDN w:val="0"/>
        <w:adjustRightInd w:val="0"/>
        <w:ind w:left="1134" w:right="139" w:hanging="258"/>
        <w:jc w:val="both"/>
        <w:rPr>
          <w:rFonts w:ascii="Arial" w:hAnsi="Arial" w:cs="Arial"/>
          <w:i/>
          <w:sz w:val="20"/>
          <w:szCs w:val="20"/>
          <w:lang w:val="es-CR"/>
        </w:rPr>
      </w:pPr>
      <w:r w:rsidRPr="00316A4D">
        <w:rPr>
          <w:rFonts w:ascii="Arial" w:hAnsi="Arial" w:cs="Arial"/>
          <w:i/>
          <w:sz w:val="20"/>
          <w:szCs w:val="20"/>
          <w:lang w:val="es-CR"/>
        </w:rPr>
        <w:t xml:space="preserve">1. </w:t>
      </w:r>
      <w:r w:rsidRPr="00316A4D">
        <w:rPr>
          <w:rFonts w:ascii="Arial" w:hAnsi="Arial" w:cs="Arial"/>
          <w:i/>
          <w:sz w:val="20"/>
          <w:szCs w:val="20"/>
          <w:lang w:val="es-CR"/>
        </w:rPr>
        <w:tab/>
        <w:t xml:space="preserve">No se encontró la conveniencia administrativa que implica el fusionar los reglamentos existentes, ya que están dirigidos a poblaciones de funcionarios con características diferentes. </w:t>
      </w:r>
    </w:p>
    <w:p w:rsidR="006B1B55" w:rsidRPr="00316A4D" w:rsidRDefault="006B1B55" w:rsidP="006B1B55">
      <w:pPr>
        <w:autoSpaceDE w:val="0"/>
        <w:autoSpaceDN w:val="0"/>
        <w:adjustRightInd w:val="0"/>
        <w:ind w:left="1134" w:right="139" w:hanging="258"/>
        <w:jc w:val="both"/>
        <w:rPr>
          <w:rFonts w:ascii="Arial" w:hAnsi="Arial" w:cs="Arial"/>
          <w:i/>
          <w:sz w:val="20"/>
          <w:szCs w:val="20"/>
          <w:lang w:val="es-CR"/>
        </w:rPr>
      </w:pPr>
      <w:r w:rsidRPr="00316A4D">
        <w:rPr>
          <w:rFonts w:ascii="Arial" w:hAnsi="Arial" w:cs="Arial"/>
          <w:i/>
          <w:sz w:val="20"/>
          <w:szCs w:val="20"/>
          <w:lang w:val="es-CR"/>
        </w:rPr>
        <w:t xml:space="preserve">2. En la propuesta no se evidencia que las mejoras estén acordes con las condiciones actuales del talento humano y retos de los profesionales de la institución, con miras al siglo XXI. </w:t>
      </w:r>
    </w:p>
    <w:p w:rsidR="006B1B55" w:rsidRPr="00316A4D" w:rsidRDefault="006B1B55" w:rsidP="006B1B55">
      <w:pPr>
        <w:autoSpaceDE w:val="0"/>
        <w:autoSpaceDN w:val="0"/>
        <w:adjustRightInd w:val="0"/>
        <w:ind w:left="1134" w:right="139" w:hanging="258"/>
        <w:jc w:val="both"/>
        <w:rPr>
          <w:rFonts w:ascii="Arial" w:hAnsi="Arial" w:cs="Arial"/>
          <w:i/>
          <w:sz w:val="20"/>
          <w:szCs w:val="20"/>
          <w:lang w:val="es-CR"/>
        </w:rPr>
      </w:pPr>
      <w:r w:rsidRPr="00316A4D">
        <w:rPr>
          <w:rFonts w:ascii="Arial" w:hAnsi="Arial" w:cs="Arial"/>
          <w:i/>
          <w:sz w:val="20"/>
          <w:szCs w:val="20"/>
          <w:lang w:val="es-CR"/>
        </w:rPr>
        <w:t xml:space="preserve">3. </w:t>
      </w:r>
      <w:r w:rsidRPr="00316A4D">
        <w:rPr>
          <w:rFonts w:ascii="Arial" w:hAnsi="Arial" w:cs="Arial"/>
          <w:i/>
          <w:sz w:val="20"/>
          <w:szCs w:val="20"/>
          <w:lang w:val="es-CR"/>
        </w:rPr>
        <w:tab/>
        <w:t xml:space="preserve">No está claro, cómo la propuesta va a promover la mejora continua de los docentes. </w:t>
      </w:r>
    </w:p>
    <w:p w:rsidR="006B1B55" w:rsidRPr="00316A4D" w:rsidRDefault="006B1B55" w:rsidP="006B1B55">
      <w:pPr>
        <w:autoSpaceDE w:val="0"/>
        <w:autoSpaceDN w:val="0"/>
        <w:adjustRightInd w:val="0"/>
        <w:ind w:left="1134" w:right="139" w:hanging="258"/>
        <w:jc w:val="both"/>
        <w:rPr>
          <w:rFonts w:ascii="Arial" w:hAnsi="Arial" w:cs="Arial"/>
          <w:i/>
          <w:sz w:val="20"/>
          <w:szCs w:val="20"/>
          <w:lang w:val="es-CR"/>
        </w:rPr>
      </w:pPr>
      <w:r w:rsidRPr="00316A4D">
        <w:rPr>
          <w:rFonts w:ascii="Arial" w:hAnsi="Arial" w:cs="Arial"/>
          <w:i/>
          <w:sz w:val="20"/>
          <w:szCs w:val="20"/>
          <w:lang w:val="es-CR"/>
        </w:rPr>
        <w:t xml:space="preserve">4. La propuesta no hace aportes tendientes a mejorar los artículos que en el reglamento actual presentan ambigüedad. </w:t>
      </w:r>
    </w:p>
    <w:p w:rsidR="006B1B55" w:rsidRPr="00316A4D" w:rsidRDefault="006B1B55" w:rsidP="006B1B55">
      <w:pPr>
        <w:autoSpaceDE w:val="0"/>
        <w:autoSpaceDN w:val="0"/>
        <w:adjustRightInd w:val="0"/>
        <w:ind w:left="1134" w:right="139" w:hanging="258"/>
        <w:jc w:val="both"/>
        <w:rPr>
          <w:rFonts w:ascii="Arial" w:hAnsi="Arial" w:cs="Arial"/>
          <w:i/>
          <w:sz w:val="20"/>
          <w:szCs w:val="20"/>
          <w:lang w:val="es-CR"/>
        </w:rPr>
      </w:pPr>
      <w:r w:rsidRPr="00316A4D">
        <w:rPr>
          <w:rFonts w:ascii="Arial" w:hAnsi="Arial" w:cs="Arial"/>
          <w:i/>
          <w:sz w:val="20"/>
          <w:szCs w:val="20"/>
          <w:lang w:val="es-CR"/>
        </w:rPr>
        <w:t xml:space="preserve">5. En lo que a la integración de las comisiones se refiere, no se encontró la justificación para modificar su estructura e incluir nuevos miembros, lo que conllevará no solo dificultades en el manejo del quórum sino también un impacto económico institucional considerable. </w:t>
      </w:r>
    </w:p>
    <w:p w:rsidR="006B1B55" w:rsidRPr="00316A4D" w:rsidRDefault="006B1B55" w:rsidP="006B1B55">
      <w:pPr>
        <w:autoSpaceDE w:val="0"/>
        <w:autoSpaceDN w:val="0"/>
        <w:adjustRightInd w:val="0"/>
        <w:ind w:left="1134" w:right="139" w:hanging="258"/>
        <w:jc w:val="both"/>
        <w:rPr>
          <w:rFonts w:ascii="Arial" w:hAnsi="Arial" w:cs="Arial"/>
          <w:i/>
          <w:sz w:val="20"/>
          <w:szCs w:val="20"/>
          <w:lang w:val="es-CR"/>
        </w:rPr>
      </w:pPr>
      <w:r w:rsidRPr="00316A4D">
        <w:rPr>
          <w:rFonts w:ascii="Arial" w:hAnsi="Arial" w:cs="Arial"/>
          <w:i/>
          <w:sz w:val="20"/>
          <w:szCs w:val="20"/>
          <w:lang w:val="es-CR"/>
        </w:rPr>
        <w:lastRenderedPageBreak/>
        <w:t xml:space="preserve">6. Resulta no equitativa, porque trata a dos funcionarios que van a recibir la misma remuneración, con diferencias en los méritos que deben alcanzar, solo porque uno es de apoyo a la academia y el otro es académico. </w:t>
      </w:r>
    </w:p>
    <w:p w:rsidR="006B1B55" w:rsidRPr="00316A4D" w:rsidRDefault="006B1B55" w:rsidP="006B1B55">
      <w:pPr>
        <w:autoSpaceDE w:val="0"/>
        <w:autoSpaceDN w:val="0"/>
        <w:adjustRightInd w:val="0"/>
        <w:ind w:left="1134" w:right="139" w:hanging="258"/>
        <w:jc w:val="both"/>
        <w:rPr>
          <w:rFonts w:ascii="Arial" w:hAnsi="Arial" w:cs="Arial"/>
          <w:i/>
          <w:sz w:val="20"/>
          <w:szCs w:val="20"/>
          <w:lang w:val="es-CR"/>
        </w:rPr>
      </w:pPr>
      <w:r w:rsidRPr="00316A4D">
        <w:rPr>
          <w:rFonts w:ascii="Arial" w:hAnsi="Arial" w:cs="Arial"/>
          <w:i/>
          <w:sz w:val="20"/>
          <w:szCs w:val="20"/>
          <w:lang w:val="es-CR"/>
        </w:rPr>
        <w:t xml:space="preserve">7. Se desconoce el motivo por el que la propuesta delega muchas de las funciones que realizan las comisiones actuales en el Departamento de Recursos Humanos, lo que implicaría mayores costos institucionales y problemas en la logística del manejo de cada uno de los casos que se analicen. </w:t>
      </w:r>
    </w:p>
    <w:p w:rsidR="006B1B55" w:rsidRPr="00316A4D" w:rsidRDefault="006B1B55" w:rsidP="006B1B55">
      <w:pPr>
        <w:autoSpaceDE w:val="0"/>
        <w:autoSpaceDN w:val="0"/>
        <w:adjustRightInd w:val="0"/>
        <w:ind w:left="1134" w:right="139" w:hanging="258"/>
        <w:jc w:val="both"/>
        <w:rPr>
          <w:rFonts w:ascii="Arial" w:hAnsi="Arial" w:cs="Arial"/>
          <w:i/>
          <w:sz w:val="20"/>
          <w:szCs w:val="20"/>
          <w:lang w:val="es-CR"/>
        </w:rPr>
      </w:pPr>
      <w:r w:rsidRPr="00316A4D">
        <w:rPr>
          <w:rFonts w:ascii="Arial" w:hAnsi="Arial" w:cs="Arial"/>
          <w:i/>
          <w:sz w:val="20"/>
          <w:szCs w:val="20"/>
          <w:lang w:val="es-CR"/>
        </w:rPr>
        <w:t>8. Y finalmente, como es del conocimiento de los integrantes del Consejo Institucional, se espera que el nuevo Manual Descriptivo de Puestos, entre a regir en un periodo corto, lo que tendrá un impacto en el quehacer institucional y en este reglamento en particular.”</w:t>
      </w:r>
    </w:p>
    <w:p w:rsidR="006B1B55" w:rsidRPr="00316A4D" w:rsidRDefault="006B1B55" w:rsidP="006B1B55">
      <w:pPr>
        <w:ind w:left="708"/>
        <w:rPr>
          <w:rFonts w:cs="Arial"/>
          <w:lang w:val="es-CR"/>
        </w:rPr>
      </w:pPr>
    </w:p>
    <w:p w:rsidR="006B1B55" w:rsidRPr="00316A4D" w:rsidRDefault="006B1B55" w:rsidP="006B1B55">
      <w:pPr>
        <w:numPr>
          <w:ilvl w:val="0"/>
          <w:numId w:val="17"/>
        </w:numPr>
        <w:tabs>
          <w:tab w:val="clear" w:pos="720"/>
        </w:tabs>
        <w:ind w:left="630"/>
        <w:jc w:val="both"/>
        <w:rPr>
          <w:rFonts w:ascii="Arial" w:hAnsi="Arial" w:cs="Arial"/>
          <w:lang w:val="es-ES_tradnl"/>
        </w:rPr>
      </w:pPr>
      <w:r w:rsidRPr="00316A4D">
        <w:rPr>
          <w:rFonts w:ascii="Arial" w:hAnsi="Arial" w:cs="Arial"/>
          <w:lang w:val="es-ES_tradnl"/>
        </w:rPr>
        <w:t xml:space="preserve">La Secretaria del Consejo Institucional recibe el oficio CCAAA-12-2018, remitido por la Sra. Beatriz Bonilla Brenes, Presidenta de la Comisión de Carrera Administrativa y de Apoyo a la Academia, en el que presenta el acuerdo de la </w:t>
      </w:r>
      <w:r w:rsidRPr="00316A4D">
        <w:rPr>
          <w:rFonts w:ascii="Arial" w:hAnsi="Arial" w:cs="Arial"/>
          <w:lang w:val="es-CR"/>
        </w:rPr>
        <w:t xml:space="preserve">comisión que indica que la </w:t>
      </w:r>
      <w:r w:rsidRPr="00316A4D">
        <w:rPr>
          <w:rFonts w:ascii="Arial" w:hAnsi="Arial" w:cs="Arial"/>
        </w:rPr>
        <w:t xml:space="preserve">Comisión de Carrera Administrativa y de Apoyo a la Academia (en adelante CCAAA), </w:t>
      </w:r>
      <w:r w:rsidRPr="00BD09BC">
        <w:rPr>
          <w:rFonts w:ascii="Arial" w:hAnsi="Arial" w:cs="Arial"/>
        </w:rPr>
        <w:t>rechaza de manera rotunda</w:t>
      </w:r>
      <w:r w:rsidRPr="00316A4D">
        <w:rPr>
          <w:rFonts w:ascii="Arial" w:hAnsi="Arial" w:cs="Arial"/>
        </w:rPr>
        <w:t xml:space="preserve"> la propuesta de “Reglamento de Carrera de Méritos del ITCR” por las siguientes consideraciones:</w:t>
      </w:r>
    </w:p>
    <w:p w:rsidR="006B1B55" w:rsidRPr="00316A4D" w:rsidRDefault="006B1B55" w:rsidP="006B1B55">
      <w:pPr>
        <w:ind w:left="360"/>
        <w:jc w:val="both"/>
        <w:rPr>
          <w:rFonts w:ascii="Arial" w:hAnsi="Arial" w:cs="Arial"/>
          <w:sz w:val="20"/>
          <w:szCs w:val="20"/>
        </w:rPr>
      </w:pPr>
    </w:p>
    <w:p w:rsidR="006B1B55" w:rsidRDefault="006B1B55" w:rsidP="006B1B55">
      <w:pPr>
        <w:numPr>
          <w:ilvl w:val="0"/>
          <w:numId w:val="19"/>
        </w:numPr>
        <w:shd w:val="clear" w:color="auto" w:fill="FFFFFF"/>
        <w:ind w:left="1068" w:right="164"/>
        <w:jc w:val="both"/>
        <w:textAlignment w:val="baseline"/>
        <w:rPr>
          <w:rFonts w:ascii="Arial" w:eastAsia="Calibri" w:hAnsi="Arial" w:cs="Arial"/>
          <w:i/>
          <w:sz w:val="22"/>
          <w:szCs w:val="22"/>
          <w:lang w:val="es-CR" w:eastAsia="es-CR"/>
        </w:rPr>
      </w:pPr>
      <w:r w:rsidRPr="00316A4D">
        <w:rPr>
          <w:rFonts w:ascii="Arial" w:eastAsia="Calibri" w:hAnsi="Arial" w:cs="Arial"/>
          <w:i/>
          <w:sz w:val="22"/>
          <w:szCs w:val="22"/>
          <w:lang w:eastAsia="es-CR"/>
        </w:rPr>
        <w:t>“La Comisión de Planificación y Administración del Consejo Institucional ignoró la documentación descrita en el inciso 1 de los considerandos según el correo enviado el 28 de junio a la Comunidad Institucional, Consulta Propuesta de Reglamento Carrera de Méritos del ITCR.</w:t>
      </w:r>
      <w:r w:rsidRPr="00316A4D">
        <w:rPr>
          <w:rFonts w:ascii="Arial" w:eastAsia="Calibri" w:hAnsi="Arial" w:cs="Arial"/>
          <w:i/>
          <w:sz w:val="22"/>
          <w:szCs w:val="22"/>
          <w:lang w:val="es-CR" w:eastAsia="es-CR"/>
        </w:rPr>
        <w:t> </w:t>
      </w:r>
    </w:p>
    <w:p w:rsidR="006B1B55" w:rsidRPr="00316A4D" w:rsidRDefault="006B1B55" w:rsidP="006B1B55">
      <w:pPr>
        <w:shd w:val="clear" w:color="auto" w:fill="FFFFFF"/>
        <w:ind w:left="1068" w:right="164"/>
        <w:jc w:val="both"/>
        <w:textAlignment w:val="baseline"/>
        <w:rPr>
          <w:rFonts w:ascii="Arial" w:eastAsia="Calibri" w:hAnsi="Arial" w:cs="Arial"/>
          <w:i/>
          <w:sz w:val="22"/>
          <w:szCs w:val="22"/>
          <w:lang w:val="es-CR" w:eastAsia="es-CR"/>
        </w:rPr>
      </w:pPr>
    </w:p>
    <w:p w:rsidR="006B1B55" w:rsidRPr="00316A4D" w:rsidRDefault="006B1B55" w:rsidP="006B1B55">
      <w:pPr>
        <w:shd w:val="clear" w:color="auto" w:fill="FFFFFF"/>
        <w:ind w:left="1418" w:right="448"/>
        <w:jc w:val="both"/>
        <w:textAlignment w:val="baseline"/>
        <w:rPr>
          <w:rFonts w:ascii="Arial" w:eastAsia="Calibri" w:hAnsi="Arial" w:cs="Arial"/>
          <w:i/>
          <w:sz w:val="22"/>
          <w:szCs w:val="22"/>
          <w:lang w:val="es-CR" w:eastAsia="es-CR"/>
        </w:rPr>
      </w:pPr>
      <w:r w:rsidRPr="00316A4D">
        <w:rPr>
          <w:rFonts w:ascii="Bookman Old Style" w:eastAsia="Calibri" w:hAnsi="Bookman Old Style" w:cs="Arial"/>
          <w:i/>
          <w:iCs/>
          <w:sz w:val="22"/>
          <w:szCs w:val="22"/>
          <w:lang w:eastAsia="es-CR"/>
        </w:rPr>
        <w:t>“</w:t>
      </w:r>
      <w:r w:rsidRPr="005D359E">
        <w:rPr>
          <w:rFonts w:ascii="Arial" w:eastAsia="Calibri" w:hAnsi="Arial" w:cs="Arial"/>
          <w:i/>
          <w:iCs/>
          <w:sz w:val="22"/>
          <w:szCs w:val="22"/>
          <w:lang w:eastAsia="es-CR"/>
        </w:rPr>
        <w:t>La Secretaría del Consejo Institucional, recibió oficio OPI-015-2015, con fecha de recibido 16 de febrero de 2015, suscrito por la MAU. Tatiana Fernández Martín, Directora de la Oficina de Planificación Institucional, dirigido al Ing. Alexander Valerín Castro, Coordinador de la Comisión de Planificación y Administración, en el cual remite propuesta de modificación al “Reglamento de Carrera Administrativa y de Apoyo a la Academia”.  Asimismo, remite los dictámenes de la Asesoría Legal, AL-769-2014 y de la Auditoría Interna AUDI-AS-024-2012, AUDI-AS-021-2014 y AUDI-081-20142”.</w:t>
      </w:r>
      <w:r w:rsidRPr="005D359E">
        <w:rPr>
          <w:rFonts w:ascii="Arial" w:eastAsia="Calibri" w:hAnsi="Arial" w:cs="Arial"/>
          <w:i/>
          <w:sz w:val="22"/>
          <w:szCs w:val="22"/>
          <w:lang w:val="es-CR" w:eastAsia="es-CR"/>
        </w:rPr>
        <w:t> </w:t>
      </w:r>
    </w:p>
    <w:p w:rsidR="006B1B55" w:rsidRPr="00316A4D" w:rsidRDefault="006B1B55" w:rsidP="006B1B55">
      <w:pPr>
        <w:numPr>
          <w:ilvl w:val="0"/>
          <w:numId w:val="19"/>
        </w:numPr>
        <w:shd w:val="clear" w:color="auto" w:fill="FFFFFF"/>
        <w:ind w:left="1068" w:right="164"/>
        <w:jc w:val="both"/>
        <w:textAlignment w:val="baseline"/>
        <w:rPr>
          <w:rFonts w:ascii="Calibri" w:eastAsia="Calibri" w:hAnsi="Calibri"/>
          <w:i/>
          <w:sz w:val="22"/>
          <w:szCs w:val="22"/>
          <w:lang w:eastAsia="es-CR"/>
        </w:rPr>
      </w:pPr>
      <w:r w:rsidRPr="00316A4D">
        <w:rPr>
          <w:rFonts w:ascii="Arial" w:eastAsia="Calibri" w:hAnsi="Arial" w:cs="Arial"/>
          <w:i/>
          <w:sz w:val="22"/>
          <w:szCs w:val="22"/>
          <w:lang w:eastAsia="es-CR"/>
        </w:rPr>
        <w:t>La</w:t>
      </w:r>
      <w:r>
        <w:rPr>
          <w:rFonts w:ascii="Arial" w:eastAsia="Calibri" w:hAnsi="Arial" w:cs="Arial"/>
          <w:i/>
          <w:sz w:val="22"/>
          <w:szCs w:val="22"/>
          <w:lang w:eastAsia="es-CR"/>
        </w:rPr>
        <w:t xml:space="preserve"> </w:t>
      </w:r>
      <w:r w:rsidRPr="00316A4D">
        <w:rPr>
          <w:rFonts w:ascii="Arial" w:eastAsia="Calibri" w:hAnsi="Arial" w:cs="Arial"/>
          <w:i/>
          <w:sz w:val="22"/>
          <w:szCs w:val="22"/>
          <w:lang w:eastAsia="es-CR"/>
        </w:rPr>
        <w:t>CCAAA considera</w:t>
      </w:r>
      <w:r>
        <w:rPr>
          <w:rFonts w:ascii="Arial" w:eastAsia="Calibri" w:hAnsi="Arial" w:cs="Arial"/>
          <w:i/>
          <w:sz w:val="22"/>
          <w:szCs w:val="22"/>
          <w:lang w:eastAsia="es-CR"/>
        </w:rPr>
        <w:t xml:space="preserve"> </w:t>
      </w:r>
      <w:r w:rsidRPr="00316A4D">
        <w:rPr>
          <w:rFonts w:ascii="Arial" w:eastAsia="Calibri" w:hAnsi="Arial" w:cs="Arial"/>
          <w:i/>
          <w:sz w:val="22"/>
          <w:szCs w:val="22"/>
          <w:lang w:eastAsia="es-CR"/>
        </w:rPr>
        <w:t>inconveniente</w:t>
      </w:r>
      <w:r>
        <w:rPr>
          <w:rFonts w:ascii="Arial" w:eastAsia="Calibri" w:hAnsi="Arial" w:cs="Arial"/>
          <w:i/>
          <w:sz w:val="22"/>
          <w:szCs w:val="22"/>
          <w:lang w:eastAsia="es-CR"/>
        </w:rPr>
        <w:t xml:space="preserve"> </w:t>
      </w:r>
      <w:r w:rsidRPr="00316A4D">
        <w:rPr>
          <w:rFonts w:ascii="Arial" w:eastAsia="Calibri" w:hAnsi="Arial" w:cs="Arial"/>
          <w:i/>
          <w:sz w:val="22"/>
          <w:szCs w:val="22"/>
          <w:lang w:eastAsia="es-CR"/>
        </w:rPr>
        <w:t>fusionarlos reglamentos (Carrera Profesional y Carrera Administrativa y de Apoyo a la Academia), ya que estos están dirigidos a poblaciones de funcionarios con características diferentes.</w:t>
      </w:r>
      <w:r w:rsidRPr="00316A4D">
        <w:rPr>
          <w:rFonts w:ascii="Calibri" w:eastAsia="Calibri" w:hAnsi="Calibri"/>
          <w:i/>
          <w:sz w:val="22"/>
          <w:szCs w:val="22"/>
          <w:lang w:eastAsia="es-CR"/>
        </w:rPr>
        <w:t> </w:t>
      </w:r>
    </w:p>
    <w:p w:rsidR="006B1B55" w:rsidRPr="00316A4D" w:rsidRDefault="006B1B55" w:rsidP="006B1B55">
      <w:pPr>
        <w:numPr>
          <w:ilvl w:val="0"/>
          <w:numId w:val="19"/>
        </w:numPr>
        <w:shd w:val="clear" w:color="auto" w:fill="FFFFFF"/>
        <w:ind w:left="1068" w:right="164"/>
        <w:jc w:val="both"/>
        <w:textAlignment w:val="baseline"/>
        <w:rPr>
          <w:rFonts w:ascii="Calibri" w:eastAsia="Calibri" w:hAnsi="Calibri"/>
          <w:i/>
          <w:sz w:val="22"/>
          <w:szCs w:val="22"/>
          <w:lang w:eastAsia="es-CR"/>
        </w:rPr>
      </w:pPr>
      <w:r w:rsidRPr="00316A4D">
        <w:rPr>
          <w:rFonts w:ascii="Arial" w:eastAsia="Calibri" w:hAnsi="Arial" w:cs="Arial"/>
          <w:i/>
          <w:sz w:val="22"/>
          <w:szCs w:val="22"/>
          <w:lang w:eastAsia="es-CR"/>
        </w:rPr>
        <w:t>Por ser discriminatorio, para el sector de apoyo a la academia, en la diferencia de años de servicio para ingresar, permanecer y avanzar en carrera, según su respectivo escalafón.</w:t>
      </w:r>
      <w:r w:rsidRPr="00316A4D">
        <w:rPr>
          <w:rFonts w:ascii="Calibri" w:eastAsia="Calibri" w:hAnsi="Calibri"/>
          <w:i/>
          <w:sz w:val="22"/>
          <w:szCs w:val="22"/>
          <w:lang w:eastAsia="es-CR"/>
        </w:rPr>
        <w:t> </w:t>
      </w:r>
    </w:p>
    <w:p w:rsidR="006B1B55" w:rsidRPr="00316A4D" w:rsidRDefault="006B1B55" w:rsidP="006B1B55">
      <w:pPr>
        <w:numPr>
          <w:ilvl w:val="0"/>
          <w:numId w:val="19"/>
        </w:numPr>
        <w:shd w:val="clear" w:color="auto" w:fill="FFFFFF"/>
        <w:ind w:left="1068" w:right="164"/>
        <w:jc w:val="both"/>
        <w:textAlignment w:val="baseline"/>
        <w:rPr>
          <w:rFonts w:ascii="Calibri" w:eastAsia="Calibri" w:hAnsi="Calibri"/>
          <w:i/>
          <w:sz w:val="22"/>
          <w:szCs w:val="22"/>
          <w:lang w:eastAsia="es-CR"/>
        </w:rPr>
      </w:pPr>
      <w:r w:rsidRPr="00316A4D">
        <w:rPr>
          <w:rFonts w:ascii="Arial" w:eastAsia="Calibri" w:hAnsi="Arial" w:cs="Arial"/>
          <w:i/>
          <w:sz w:val="22"/>
          <w:szCs w:val="22"/>
          <w:lang w:eastAsia="es-CR"/>
        </w:rPr>
        <w:t>La CCAAA dedicó más de cinco años en preparar la Propuesta de Modificación  Integral del Reglamento de Carrera Administrativa y de Apoyo a la Academia, la cual fue presentada al Consejo Institucional para su análisis desde el 2012, sin haber recibido respuesta, según memorando CCAAA-04–2018, del 16 de abril de 2018,  y fue hasta el 28 de junio del 2018, que el Consejo Institucional presenta a la comunidad, una propuesta nueva, sin tomar en cuenta la  participación de esta Comisión, que consiste en la fusión de tres reglamentos para ser estudiada en un plazo de 30 días.</w:t>
      </w:r>
      <w:r w:rsidRPr="00316A4D">
        <w:rPr>
          <w:rFonts w:ascii="Calibri" w:eastAsia="Calibri" w:hAnsi="Calibri"/>
          <w:i/>
          <w:sz w:val="22"/>
          <w:szCs w:val="22"/>
          <w:lang w:eastAsia="es-CR"/>
        </w:rPr>
        <w:t> </w:t>
      </w:r>
    </w:p>
    <w:p w:rsidR="006B1B55" w:rsidRPr="00316A4D" w:rsidRDefault="006B1B55" w:rsidP="006B1B55">
      <w:pPr>
        <w:numPr>
          <w:ilvl w:val="0"/>
          <w:numId w:val="19"/>
        </w:numPr>
        <w:shd w:val="clear" w:color="auto" w:fill="FFFFFF"/>
        <w:ind w:left="1068" w:right="164"/>
        <w:jc w:val="both"/>
        <w:textAlignment w:val="baseline"/>
        <w:rPr>
          <w:rFonts w:ascii="Arial" w:eastAsia="Calibri" w:hAnsi="Arial" w:cs="Arial"/>
          <w:i/>
          <w:sz w:val="22"/>
          <w:szCs w:val="22"/>
          <w:lang w:eastAsia="es-CR"/>
        </w:rPr>
      </w:pPr>
      <w:r w:rsidRPr="00316A4D">
        <w:rPr>
          <w:rFonts w:ascii="Arial" w:eastAsia="Calibri" w:hAnsi="Arial" w:cs="Arial"/>
          <w:i/>
          <w:sz w:val="22"/>
          <w:szCs w:val="22"/>
          <w:lang w:eastAsia="es-CR"/>
        </w:rPr>
        <w:t xml:space="preserve">Se desconoce el espíritu de dicha fusión y el efecto que tendrá el nuevo Manual Descriptivo de Puestos por Competencias en el Reglamento de Carrera Administrativa y de Apoyo a la Academia. </w:t>
      </w:r>
    </w:p>
    <w:p w:rsidR="006B1B55" w:rsidRPr="00316A4D" w:rsidRDefault="006B1B55" w:rsidP="006B1B55">
      <w:pPr>
        <w:numPr>
          <w:ilvl w:val="0"/>
          <w:numId w:val="19"/>
        </w:numPr>
        <w:shd w:val="clear" w:color="auto" w:fill="FFFFFF"/>
        <w:ind w:left="1068" w:right="164"/>
        <w:jc w:val="both"/>
        <w:textAlignment w:val="baseline"/>
        <w:rPr>
          <w:rFonts w:ascii="Arial" w:eastAsia="Calibri" w:hAnsi="Arial" w:cs="Arial"/>
          <w:i/>
          <w:sz w:val="22"/>
          <w:szCs w:val="22"/>
          <w:lang w:eastAsia="es-CR"/>
        </w:rPr>
      </w:pPr>
      <w:r w:rsidRPr="00316A4D">
        <w:rPr>
          <w:rFonts w:ascii="Arial" w:eastAsia="Calibri" w:hAnsi="Arial" w:cs="Arial"/>
          <w:i/>
          <w:sz w:val="22"/>
          <w:szCs w:val="22"/>
          <w:lang w:eastAsia="es-CR"/>
        </w:rPr>
        <w:t>Comuníquese a la Comunidad Institucional.</w:t>
      </w:r>
    </w:p>
    <w:p w:rsidR="006B1B55" w:rsidRPr="00316A4D" w:rsidRDefault="006B1B55" w:rsidP="006B1B55">
      <w:pPr>
        <w:ind w:left="360"/>
        <w:jc w:val="both"/>
        <w:rPr>
          <w:rFonts w:ascii="Arial" w:hAnsi="Arial" w:cs="Arial"/>
          <w:sz w:val="20"/>
          <w:szCs w:val="20"/>
          <w:lang w:val="es-CR"/>
        </w:rPr>
      </w:pPr>
    </w:p>
    <w:p w:rsidR="006B1B55" w:rsidRPr="00BD09BC" w:rsidRDefault="006B1B55" w:rsidP="006B1B55">
      <w:pPr>
        <w:numPr>
          <w:ilvl w:val="0"/>
          <w:numId w:val="17"/>
        </w:numPr>
        <w:tabs>
          <w:tab w:val="clear" w:pos="720"/>
        </w:tabs>
        <w:ind w:left="630"/>
        <w:jc w:val="both"/>
        <w:rPr>
          <w:rFonts w:ascii="Arial" w:hAnsi="Arial" w:cs="Arial"/>
          <w:lang w:val="es-ES_tradnl"/>
        </w:rPr>
      </w:pPr>
      <w:r w:rsidRPr="00316A4D">
        <w:rPr>
          <w:rFonts w:ascii="Arial" w:hAnsi="Arial" w:cs="Arial"/>
          <w:lang w:val="es-ES_tradnl"/>
        </w:rPr>
        <w:lastRenderedPageBreak/>
        <w:t xml:space="preserve">La Secretaria del Consejo Institucional recibe el oficio VIE-788-2018, suscrito por el Dr. Alexander Berrocal Jiménez, Presidente del Consejo de Investigación </w:t>
      </w:r>
      <w:proofErr w:type="gramStart"/>
      <w:r w:rsidRPr="00316A4D">
        <w:rPr>
          <w:rFonts w:ascii="Arial" w:hAnsi="Arial" w:cs="Arial"/>
          <w:lang w:val="es-ES_tradnl"/>
        </w:rPr>
        <w:t xml:space="preserve">y  </w:t>
      </w:r>
      <w:r w:rsidRPr="00BD09BC">
        <w:rPr>
          <w:rFonts w:ascii="Arial" w:hAnsi="Arial" w:cs="Arial"/>
          <w:lang w:val="es-CR"/>
        </w:rPr>
        <w:t>Extensión</w:t>
      </w:r>
      <w:proofErr w:type="gramEnd"/>
      <w:r w:rsidRPr="00316A4D">
        <w:rPr>
          <w:rFonts w:ascii="Arial" w:hAnsi="Arial" w:cs="Arial"/>
          <w:lang w:val="es-ES_tradnl"/>
        </w:rPr>
        <w:t xml:space="preserve">, en el que informa que el </w:t>
      </w:r>
      <w:r w:rsidRPr="00316A4D">
        <w:rPr>
          <w:rFonts w:ascii="Arial" w:hAnsi="Arial" w:cs="Arial"/>
          <w:lang w:val="es-CR"/>
        </w:rPr>
        <w:t xml:space="preserve">Consejo de Investigación y Extensión (CIE), en la  Sesión Ordinaria No. 12-2018, Artículo 7, del 24 de agosto del 2018, tomó el siguiente acuerdo: </w:t>
      </w:r>
      <w:r w:rsidRPr="00316A4D">
        <w:rPr>
          <w:rFonts w:ascii="Arial" w:hAnsi="Arial" w:cs="Arial"/>
          <w:i/>
          <w:lang w:val="es-CR"/>
        </w:rPr>
        <w:t>"Rechazar en todos sus alcances la aprobación y puesta en marcha del “Reglamento de Carrera de Méritos del ITCR”</w:t>
      </w:r>
      <w:r w:rsidRPr="00316A4D">
        <w:rPr>
          <w:rFonts w:ascii="Arial" w:hAnsi="Arial" w:cs="Arial"/>
          <w:lang w:val="es-CR"/>
        </w:rPr>
        <w:t>.</w:t>
      </w:r>
    </w:p>
    <w:p w:rsidR="006B1B55" w:rsidRPr="00316A4D" w:rsidRDefault="006B1B55" w:rsidP="006B1B55">
      <w:pPr>
        <w:ind w:left="270"/>
        <w:jc w:val="both"/>
        <w:rPr>
          <w:rFonts w:ascii="Arial" w:hAnsi="Arial" w:cs="Arial"/>
          <w:lang w:val="es-ES_tradnl"/>
        </w:rPr>
      </w:pPr>
    </w:p>
    <w:p w:rsidR="006B1B55" w:rsidRPr="00316A4D" w:rsidRDefault="006B1B55" w:rsidP="006B1B55">
      <w:pPr>
        <w:ind w:left="567" w:right="-93"/>
        <w:jc w:val="both"/>
        <w:rPr>
          <w:rFonts w:ascii="Arial" w:hAnsi="Arial" w:cs="Arial"/>
          <w:i/>
          <w:sz w:val="22"/>
          <w:szCs w:val="22"/>
          <w:lang w:val="es-CR"/>
        </w:rPr>
      </w:pPr>
      <w:r w:rsidRPr="00316A4D">
        <w:rPr>
          <w:rFonts w:ascii="Arial" w:hAnsi="Arial" w:cs="Arial"/>
          <w:i/>
          <w:sz w:val="22"/>
          <w:szCs w:val="22"/>
          <w:lang w:val="es-CR"/>
        </w:rPr>
        <w:t>“La decisión la tomó el CIE en respuesta a una consulta hecha por el Consejo Institucional por las siguientes razones:</w:t>
      </w:r>
    </w:p>
    <w:p w:rsidR="006B1B55" w:rsidRPr="00316A4D" w:rsidRDefault="006B1B55" w:rsidP="006B1B55">
      <w:pPr>
        <w:numPr>
          <w:ilvl w:val="0"/>
          <w:numId w:val="20"/>
        </w:numPr>
        <w:ind w:left="992" w:right="448" w:hanging="425"/>
        <w:contextualSpacing/>
        <w:jc w:val="both"/>
        <w:rPr>
          <w:rFonts w:ascii="Arial" w:hAnsi="Arial" w:cs="Arial"/>
          <w:i/>
          <w:sz w:val="22"/>
          <w:szCs w:val="22"/>
          <w:lang w:val="es-CR"/>
        </w:rPr>
      </w:pPr>
      <w:r w:rsidRPr="00316A4D">
        <w:rPr>
          <w:rFonts w:ascii="Arial" w:hAnsi="Arial" w:cs="Arial"/>
          <w:i/>
          <w:sz w:val="22"/>
          <w:szCs w:val="22"/>
          <w:lang w:val="es-CR"/>
        </w:rPr>
        <w:t>Se fusionan en un solo reglamento los alcances de los reglamentos vigentes respecto a carrera docente y carrera administrativa; esto corresponde a dos grupos de funcionarios claramente distintos, con funciones muy diferentes definidas en el Manual Descriptivo de Puestos.</w:t>
      </w:r>
    </w:p>
    <w:p w:rsidR="006B1B55" w:rsidRPr="00316A4D" w:rsidRDefault="006B1B55" w:rsidP="006B1B55">
      <w:pPr>
        <w:numPr>
          <w:ilvl w:val="0"/>
          <w:numId w:val="20"/>
        </w:numPr>
        <w:ind w:left="992" w:right="448" w:hanging="425"/>
        <w:contextualSpacing/>
        <w:jc w:val="both"/>
        <w:rPr>
          <w:rFonts w:ascii="Arial" w:hAnsi="Arial" w:cs="Arial"/>
          <w:i/>
          <w:sz w:val="22"/>
          <w:szCs w:val="22"/>
          <w:lang w:val="es-CR"/>
        </w:rPr>
      </w:pPr>
      <w:r w:rsidRPr="00316A4D">
        <w:rPr>
          <w:rFonts w:ascii="Arial" w:hAnsi="Arial" w:cs="Arial"/>
          <w:i/>
          <w:sz w:val="22"/>
          <w:szCs w:val="22"/>
          <w:lang w:val="es-CR"/>
        </w:rPr>
        <w:t>La nueva propuesta no responde claramente a principios fundamentales de promover la excelencia y el reconocimiento basado en méritos, lo que podría conducir a beneficios económicos desproporcionados para los trabajadores del ITCR.</w:t>
      </w:r>
    </w:p>
    <w:p w:rsidR="006B1B55" w:rsidRPr="00316A4D" w:rsidRDefault="006B1B55" w:rsidP="006B1B55">
      <w:pPr>
        <w:numPr>
          <w:ilvl w:val="0"/>
          <w:numId w:val="20"/>
        </w:numPr>
        <w:ind w:left="992" w:right="448" w:hanging="425"/>
        <w:contextualSpacing/>
        <w:jc w:val="both"/>
        <w:rPr>
          <w:rFonts w:ascii="Arial" w:hAnsi="Arial" w:cs="Arial"/>
          <w:i/>
          <w:sz w:val="22"/>
          <w:szCs w:val="22"/>
          <w:lang w:val="es-CR"/>
        </w:rPr>
      </w:pPr>
      <w:r w:rsidRPr="00316A4D">
        <w:rPr>
          <w:rFonts w:ascii="Arial" w:hAnsi="Arial" w:cs="Arial"/>
          <w:i/>
          <w:sz w:val="22"/>
          <w:szCs w:val="22"/>
          <w:lang w:val="es-CR"/>
        </w:rPr>
        <w:t xml:space="preserve">En lo referente a investigación y extensión, la propuesta no aborda aspectos esenciales que ya han sido analizados con el Consejo Institucional, por </w:t>
      </w:r>
      <w:proofErr w:type="gramStart"/>
      <w:r w:rsidRPr="00316A4D">
        <w:rPr>
          <w:rFonts w:ascii="Arial" w:hAnsi="Arial" w:cs="Arial"/>
          <w:i/>
          <w:sz w:val="22"/>
          <w:szCs w:val="22"/>
          <w:lang w:val="es-CR"/>
        </w:rPr>
        <w:t>ejemplo</w:t>
      </w:r>
      <w:proofErr w:type="gramEnd"/>
      <w:r w:rsidRPr="00316A4D">
        <w:rPr>
          <w:rFonts w:ascii="Arial" w:hAnsi="Arial" w:cs="Arial"/>
          <w:i/>
          <w:sz w:val="22"/>
          <w:szCs w:val="22"/>
          <w:lang w:val="es-CR"/>
        </w:rPr>
        <w:t xml:space="preserve"> que en los artículos científicos no se haga diferencia entre calidades de revistas en las que se publica.</w:t>
      </w:r>
    </w:p>
    <w:p w:rsidR="006B1B55" w:rsidRPr="00316A4D" w:rsidRDefault="006B1B55" w:rsidP="006B1B55">
      <w:pPr>
        <w:numPr>
          <w:ilvl w:val="0"/>
          <w:numId w:val="20"/>
        </w:numPr>
        <w:ind w:left="992" w:right="448" w:hanging="425"/>
        <w:contextualSpacing/>
        <w:jc w:val="both"/>
        <w:rPr>
          <w:rFonts w:ascii="Arial" w:hAnsi="Arial" w:cs="Arial"/>
          <w:i/>
          <w:sz w:val="22"/>
          <w:szCs w:val="22"/>
          <w:lang w:val="es-CR"/>
        </w:rPr>
      </w:pPr>
      <w:r w:rsidRPr="00316A4D">
        <w:rPr>
          <w:rFonts w:ascii="Arial" w:hAnsi="Arial" w:cs="Arial"/>
          <w:i/>
          <w:sz w:val="22"/>
          <w:szCs w:val="22"/>
          <w:lang w:val="es-CR"/>
        </w:rPr>
        <w:t>Además, el reglamento propone asignar el mismo puntaje a todos los autores de un artículo, criterio que se repite frecuentemente en otros rubros que se evalúan para obtener el puntaje requerido para el paso de categoría, sin que medie una justificación o criterio técnico que respalde esta medida.</w:t>
      </w:r>
    </w:p>
    <w:p w:rsidR="006B1B55" w:rsidRPr="00316A4D" w:rsidRDefault="006B1B55" w:rsidP="006B1B55">
      <w:pPr>
        <w:numPr>
          <w:ilvl w:val="0"/>
          <w:numId w:val="20"/>
        </w:numPr>
        <w:ind w:left="992" w:right="448" w:hanging="425"/>
        <w:contextualSpacing/>
        <w:jc w:val="both"/>
        <w:rPr>
          <w:rFonts w:ascii="Arial" w:hAnsi="Arial" w:cs="Arial"/>
          <w:i/>
          <w:sz w:val="22"/>
          <w:szCs w:val="22"/>
          <w:lang w:val="es-CR"/>
        </w:rPr>
      </w:pPr>
      <w:r w:rsidRPr="00316A4D">
        <w:rPr>
          <w:rFonts w:ascii="Arial" w:hAnsi="Arial" w:cs="Arial"/>
          <w:i/>
          <w:sz w:val="22"/>
          <w:szCs w:val="22"/>
          <w:lang w:val="es-CR"/>
        </w:rPr>
        <w:t xml:space="preserve">Dentro de los criterios que aportan puntuación al personal administrativo y de apoyo a la academia, se incluyen productos propios de la investigación y la extensión tales como artículos, libros, productos de propiedad intelectual entre otros. Sin embargo, el Estatuto Orgánico establece en el artículo 102 que: “Los profesores son los funcionarios que, de acuerdo con su vocación, su formación y la conveniencia del Instituto, se dedican indistintamente a la docencia, la investigación o la extensión tecnológicas o educativas, como actividad principal dentro de un departamento académico”. Esto se considera una inconsistencia, puesto que debería evaluarse a cada funcionario en función de las competencias por las que fue contratado como funcionario del ITCR. </w:t>
      </w:r>
    </w:p>
    <w:p w:rsidR="006B1B55" w:rsidRPr="00316A4D" w:rsidRDefault="006B1B55" w:rsidP="006B1B55">
      <w:pPr>
        <w:numPr>
          <w:ilvl w:val="0"/>
          <w:numId w:val="20"/>
        </w:numPr>
        <w:ind w:left="992" w:right="448" w:hanging="425"/>
        <w:contextualSpacing/>
        <w:jc w:val="both"/>
        <w:rPr>
          <w:rFonts w:ascii="Arial" w:hAnsi="Arial" w:cs="Arial"/>
          <w:i/>
          <w:sz w:val="22"/>
          <w:szCs w:val="22"/>
          <w:lang w:val="es-CR"/>
        </w:rPr>
      </w:pPr>
      <w:r w:rsidRPr="00316A4D">
        <w:rPr>
          <w:rFonts w:ascii="Arial" w:hAnsi="Arial" w:cs="Arial"/>
          <w:i/>
          <w:sz w:val="22"/>
          <w:szCs w:val="22"/>
          <w:lang w:val="es-CR"/>
        </w:rPr>
        <w:t>La Comisión de Carrera Profesional estará integrada por tres propietarios académicos y dos miembros propietarios administrativos y la misma cantidad de suplentes, mientras que la Comisión de Carrera Administrativa categoría de apoyo a la academia estará integrada por tres propietarios todos funcionarios administrativos en categorías no profesionales y la misma cantidad de suplentes; ambas comisiones evalúan los atestados para paso de categoría, incluyendo aquellos que son propios de los productos de la investigación y la extensión que por competencia son resorte del personal académico. Por lo tanto, es claro que el personal administrativo no tendría competencias adecuadas para evaluar atestados relacionados con productos de investigación y extensión tales como artículos, libros, productos de propiedad intelectual, entre otros.</w:t>
      </w:r>
    </w:p>
    <w:p w:rsidR="006B1B55" w:rsidRPr="00316A4D" w:rsidRDefault="006B1B55" w:rsidP="006B1B55">
      <w:pPr>
        <w:numPr>
          <w:ilvl w:val="0"/>
          <w:numId w:val="20"/>
        </w:numPr>
        <w:ind w:left="992" w:right="448" w:hanging="425"/>
        <w:contextualSpacing/>
        <w:jc w:val="both"/>
        <w:rPr>
          <w:rFonts w:ascii="Arial" w:hAnsi="Arial" w:cs="Arial"/>
          <w:i/>
          <w:sz w:val="22"/>
          <w:szCs w:val="22"/>
          <w:lang w:val="es-CR"/>
        </w:rPr>
      </w:pPr>
      <w:r w:rsidRPr="00316A4D">
        <w:rPr>
          <w:rFonts w:ascii="Arial" w:hAnsi="Arial" w:cs="Arial"/>
          <w:i/>
          <w:sz w:val="22"/>
          <w:szCs w:val="22"/>
          <w:lang w:val="es-CR"/>
        </w:rPr>
        <w:t xml:space="preserve">En la propuesta de reglamento planteada se indica que en el caso de coautoría de artículos se asignará el 100% de los puntos obtenidos en cada ítem a cada uno de los autores, independientemente del número de autores y manteniendo aun así un puntaje significativamente alto por artículo; esto se considera riesgoso pues con esta medida no se incentiva la calidad y tampoco se </w:t>
      </w:r>
      <w:r w:rsidRPr="00316A4D">
        <w:rPr>
          <w:rFonts w:ascii="Arial" w:hAnsi="Arial" w:cs="Arial"/>
          <w:i/>
          <w:sz w:val="22"/>
          <w:szCs w:val="22"/>
          <w:lang w:val="es-CR"/>
        </w:rPr>
        <w:lastRenderedPageBreak/>
        <w:t xml:space="preserve">reconoce el mérito de los proponentes de estos productos en función de su aporte. </w:t>
      </w:r>
    </w:p>
    <w:p w:rsidR="006B1B55" w:rsidRPr="00316A4D" w:rsidRDefault="006B1B55" w:rsidP="006B1B55">
      <w:pPr>
        <w:numPr>
          <w:ilvl w:val="0"/>
          <w:numId w:val="20"/>
        </w:numPr>
        <w:ind w:left="992" w:right="448" w:hanging="425"/>
        <w:contextualSpacing/>
        <w:jc w:val="both"/>
        <w:rPr>
          <w:rFonts w:cs="Arial"/>
          <w:i/>
          <w:lang w:val="es-ES_tradnl"/>
        </w:rPr>
      </w:pPr>
      <w:r w:rsidRPr="00316A4D">
        <w:rPr>
          <w:rFonts w:ascii="Arial" w:hAnsi="Arial" w:cs="Arial"/>
          <w:i/>
          <w:sz w:val="22"/>
          <w:szCs w:val="22"/>
          <w:lang w:val="es-CR"/>
        </w:rPr>
        <w:t>Finalmente, se tiene la percepción de que este reglamento es más laxo y propiciaría un aumento importante en la cantidad de personas que aprueban pasos académicos en épocas en que la situación del país es compleja en términos presupuestarios; se considera un riesgo que la implementación de la propuesta de “Reglamento de Carrera de Méritos del ITCR” venga a afectar en forma significativa e irreversible las finanzas institucionales.</w:t>
      </w:r>
    </w:p>
    <w:p w:rsidR="006B1B55" w:rsidRPr="00316A4D" w:rsidRDefault="006B1B55" w:rsidP="006B1B55">
      <w:pPr>
        <w:ind w:left="567" w:right="448"/>
        <w:contextualSpacing/>
        <w:jc w:val="both"/>
        <w:rPr>
          <w:rFonts w:cs="Arial"/>
          <w:i/>
          <w:sz w:val="16"/>
          <w:szCs w:val="16"/>
          <w:lang w:val="es-ES_tradnl"/>
        </w:rPr>
      </w:pPr>
    </w:p>
    <w:p w:rsidR="006B1B55" w:rsidRPr="00316A4D" w:rsidRDefault="006B1B55" w:rsidP="006B1B55">
      <w:pPr>
        <w:numPr>
          <w:ilvl w:val="0"/>
          <w:numId w:val="17"/>
        </w:numPr>
        <w:tabs>
          <w:tab w:val="clear" w:pos="720"/>
        </w:tabs>
        <w:ind w:left="630"/>
        <w:jc w:val="both"/>
        <w:rPr>
          <w:rFonts w:ascii="Arial" w:hAnsi="Arial" w:cs="Arial"/>
          <w:lang w:val="es-ES_tradnl"/>
        </w:rPr>
      </w:pPr>
      <w:r w:rsidRPr="00316A4D">
        <w:rPr>
          <w:rFonts w:ascii="Arial" w:hAnsi="Arial" w:cs="Arial"/>
          <w:lang w:val="es-ES_tradnl"/>
        </w:rPr>
        <w:t xml:space="preserve">La Secretaria del Consejo Institucional recibió, además, criterios de las siguientes dependencias y </w:t>
      </w:r>
      <w:r w:rsidRPr="00BD09BC">
        <w:rPr>
          <w:rFonts w:ascii="Arial" w:hAnsi="Arial" w:cs="Arial"/>
          <w:lang w:val="es-CR"/>
        </w:rPr>
        <w:t>funcionarios</w:t>
      </w:r>
      <w:r w:rsidRPr="00316A4D">
        <w:rPr>
          <w:rFonts w:ascii="Arial" w:hAnsi="Arial" w:cs="Arial"/>
          <w:lang w:val="es-ES_tradnl"/>
        </w:rPr>
        <w:t xml:space="preserve"> y funcionarias, según se detalla a continuación:</w:t>
      </w:r>
    </w:p>
    <w:p w:rsidR="006B1B55" w:rsidRPr="00316A4D" w:rsidRDefault="006B1B55" w:rsidP="006B1B55">
      <w:pPr>
        <w:jc w:val="both"/>
        <w:rPr>
          <w:rFonts w:ascii="Arial" w:hAnsi="Arial" w:cs="Arial"/>
          <w:sz w:val="16"/>
          <w:szCs w:val="16"/>
          <w:lang w:val="es-ES_tradnl"/>
        </w:rPr>
      </w:pPr>
    </w:p>
    <w:tbl>
      <w:tblPr>
        <w:tblStyle w:val="Tablaconcuadrcula"/>
        <w:tblW w:w="0" w:type="auto"/>
        <w:tblLook w:val="04A0" w:firstRow="1" w:lastRow="0" w:firstColumn="1" w:lastColumn="0" w:noHBand="0" w:noVBand="1"/>
      </w:tblPr>
      <w:tblGrid>
        <w:gridCol w:w="4532"/>
        <w:gridCol w:w="4528"/>
      </w:tblGrid>
      <w:tr w:rsidR="006B1B55" w:rsidRPr="00316A4D" w:rsidTr="00D425E8">
        <w:tc>
          <w:tcPr>
            <w:tcW w:w="4755" w:type="dxa"/>
          </w:tcPr>
          <w:p w:rsidR="006B1B55" w:rsidRPr="00316A4D" w:rsidRDefault="006B1B55" w:rsidP="00D425E8">
            <w:pPr>
              <w:spacing w:before="120"/>
              <w:ind w:left="851"/>
              <w:rPr>
                <w:rFonts w:ascii="Arial" w:eastAsia="Calibri" w:hAnsi="Arial"/>
                <w:b/>
                <w:sz w:val="18"/>
                <w:szCs w:val="18"/>
                <w:lang w:val="es-CR" w:eastAsia="en-US"/>
              </w:rPr>
            </w:pPr>
            <w:r w:rsidRPr="00316A4D">
              <w:rPr>
                <w:rFonts w:ascii="Arial" w:eastAsia="Calibri" w:hAnsi="Arial"/>
                <w:b/>
                <w:sz w:val="18"/>
                <w:szCs w:val="18"/>
                <w:lang w:val="es-CR" w:eastAsia="en-US"/>
              </w:rPr>
              <w:t>DEPENDENCIAS</w:t>
            </w:r>
          </w:p>
        </w:tc>
        <w:tc>
          <w:tcPr>
            <w:tcW w:w="4755" w:type="dxa"/>
          </w:tcPr>
          <w:p w:rsidR="006B1B55" w:rsidRPr="00316A4D" w:rsidRDefault="006B1B55" w:rsidP="00D425E8">
            <w:pPr>
              <w:spacing w:before="120"/>
              <w:ind w:left="851"/>
              <w:rPr>
                <w:rFonts w:ascii="Arial" w:eastAsia="Calibri" w:hAnsi="Arial"/>
                <w:b/>
                <w:sz w:val="18"/>
                <w:szCs w:val="18"/>
                <w:lang w:val="es-CR" w:eastAsia="en-US"/>
              </w:rPr>
            </w:pPr>
            <w:r w:rsidRPr="00316A4D">
              <w:rPr>
                <w:rFonts w:ascii="Arial" w:eastAsia="Calibri" w:hAnsi="Arial"/>
                <w:b/>
                <w:sz w:val="18"/>
                <w:szCs w:val="18"/>
                <w:lang w:val="es-CR" w:eastAsia="en-US"/>
              </w:rPr>
              <w:t>FUNCIONARIAS Y FUNCIONARIOS</w:t>
            </w:r>
          </w:p>
        </w:tc>
      </w:tr>
      <w:tr w:rsidR="006B1B55" w:rsidRPr="00316A4D" w:rsidTr="00D425E8">
        <w:tc>
          <w:tcPr>
            <w:tcW w:w="4755" w:type="dxa"/>
          </w:tcPr>
          <w:p w:rsidR="006B1B55" w:rsidRPr="00316A4D" w:rsidRDefault="006B1B55" w:rsidP="00D425E8">
            <w:pPr>
              <w:ind w:left="97"/>
              <w:rPr>
                <w:rFonts w:ascii="Arial" w:eastAsia="Calibri" w:hAnsi="Arial"/>
                <w:sz w:val="18"/>
                <w:szCs w:val="18"/>
                <w:lang w:val="es-CR" w:eastAsia="en-US"/>
              </w:rPr>
            </w:pPr>
          </w:p>
          <w:p w:rsidR="006B1B55" w:rsidRPr="00316A4D" w:rsidRDefault="006B1B55" w:rsidP="006B1B55">
            <w:pPr>
              <w:numPr>
                <w:ilvl w:val="0"/>
                <w:numId w:val="21"/>
              </w:numPr>
              <w:ind w:left="457"/>
              <w:rPr>
                <w:rFonts w:ascii="Arial" w:eastAsia="Calibri" w:hAnsi="Arial"/>
                <w:sz w:val="18"/>
                <w:szCs w:val="18"/>
                <w:lang w:val="es-CR" w:eastAsia="en-US"/>
              </w:rPr>
            </w:pPr>
            <w:r w:rsidRPr="00316A4D">
              <w:rPr>
                <w:rFonts w:ascii="Arial" w:eastAsia="Calibri" w:hAnsi="Arial"/>
                <w:sz w:val="18"/>
                <w:szCs w:val="18"/>
                <w:lang w:val="es-CR" w:eastAsia="en-US"/>
              </w:rPr>
              <w:t>Escuela de Física</w:t>
            </w:r>
          </w:p>
          <w:p w:rsidR="006B1B55" w:rsidRPr="00316A4D" w:rsidRDefault="006B1B55" w:rsidP="006B1B55">
            <w:pPr>
              <w:numPr>
                <w:ilvl w:val="0"/>
                <w:numId w:val="21"/>
              </w:numPr>
              <w:ind w:left="457"/>
              <w:rPr>
                <w:rFonts w:ascii="Arial" w:eastAsia="Calibri" w:hAnsi="Arial"/>
                <w:sz w:val="18"/>
                <w:szCs w:val="18"/>
                <w:lang w:val="es-CR" w:eastAsia="en-US"/>
              </w:rPr>
            </w:pPr>
            <w:r w:rsidRPr="00316A4D">
              <w:rPr>
                <w:rFonts w:ascii="Arial" w:eastAsia="Calibri" w:hAnsi="Arial"/>
                <w:sz w:val="18"/>
                <w:szCs w:val="18"/>
                <w:lang w:val="es-CR" w:eastAsia="en-US"/>
              </w:rPr>
              <w:t>Recursos Humanos</w:t>
            </w:r>
          </w:p>
          <w:p w:rsidR="006B1B55" w:rsidRPr="00316A4D" w:rsidRDefault="006B1B55" w:rsidP="006B1B55">
            <w:pPr>
              <w:numPr>
                <w:ilvl w:val="0"/>
                <w:numId w:val="21"/>
              </w:numPr>
              <w:ind w:left="457"/>
              <w:rPr>
                <w:rFonts w:ascii="Arial" w:eastAsia="Calibri" w:hAnsi="Arial"/>
                <w:sz w:val="18"/>
                <w:szCs w:val="18"/>
                <w:lang w:val="es-CR" w:eastAsia="en-US"/>
              </w:rPr>
            </w:pPr>
            <w:r w:rsidRPr="00316A4D">
              <w:rPr>
                <w:rFonts w:ascii="Arial" w:eastAsia="Calibri" w:hAnsi="Arial"/>
                <w:sz w:val="18"/>
                <w:szCs w:val="18"/>
                <w:lang w:val="es-CR" w:eastAsia="en-US"/>
              </w:rPr>
              <w:t>Oficina de Planificación Institucional</w:t>
            </w:r>
          </w:p>
          <w:p w:rsidR="006B1B55" w:rsidRPr="00316A4D" w:rsidRDefault="006B1B55" w:rsidP="006B1B55">
            <w:pPr>
              <w:numPr>
                <w:ilvl w:val="0"/>
                <w:numId w:val="21"/>
              </w:numPr>
              <w:ind w:left="457"/>
              <w:rPr>
                <w:rFonts w:ascii="Arial" w:eastAsia="Calibri" w:hAnsi="Arial"/>
                <w:sz w:val="18"/>
                <w:szCs w:val="18"/>
                <w:lang w:val="es-CR" w:eastAsia="en-US"/>
              </w:rPr>
            </w:pPr>
            <w:r w:rsidRPr="00316A4D">
              <w:rPr>
                <w:rFonts w:ascii="Arial" w:eastAsia="Calibri" w:hAnsi="Arial"/>
                <w:sz w:val="18"/>
                <w:szCs w:val="18"/>
                <w:lang w:val="es-CR" w:eastAsia="en-US"/>
              </w:rPr>
              <w:t>Escuela Ingeniería Agrícola</w:t>
            </w:r>
          </w:p>
          <w:p w:rsidR="006B1B55" w:rsidRPr="00316A4D" w:rsidRDefault="006B1B55" w:rsidP="00D425E8">
            <w:pPr>
              <w:tabs>
                <w:tab w:val="center" w:pos="2269"/>
              </w:tabs>
              <w:rPr>
                <w:sz w:val="20"/>
                <w:szCs w:val="20"/>
                <w:lang w:val="es-CR" w:eastAsia="en-US"/>
              </w:rPr>
            </w:pPr>
          </w:p>
          <w:p w:rsidR="006B1B55" w:rsidRPr="00316A4D" w:rsidRDefault="006B1B55" w:rsidP="00D425E8">
            <w:pPr>
              <w:jc w:val="both"/>
              <w:rPr>
                <w:rFonts w:ascii="Arial" w:hAnsi="Arial" w:cs="Arial"/>
                <w:lang w:val="es-ES_tradnl"/>
              </w:rPr>
            </w:pPr>
          </w:p>
        </w:tc>
        <w:tc>
          <w:tcPr>
            <w:tcW w:w="4755" w:type="dxa"/>
          </w:tcPr>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Juan Carlos Carvajal Morales</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Carlos Alvarado Ulloa</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Gustavo Richmond Navarro</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Jorge Monge Fallas</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Karolina Villagra Mendoza</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Natalia Murillo Quirós</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 xml:space="preserve">Manuel </w:t>
            </w:r>
            <w:proofErr w:type="gramStart"/>
            <w:r w:rsidRPr="00316A4D">
              <w:rPr>
                <w:rFonts w:ascii="Arial" w:eastAsia="Calibri" w:hAnsi="Arial"/>
                <w:sz w:val="18"/>
                <w:szCs w:val="18"/>
                <w:lang w:val="es-CR" w:eastAsia="en-US"/>
              </w:rPr>
              <w:t>Murillo  Tsijli</w:t>
            </w:r>
            <w:proofErr w:type="gramEnd"/>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Sandra Schmidt Quesada</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Sonia Barboza Flores</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Rosaura Brenes Solano</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Ernesto Montero Zeledón</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Benjamín Campos Chavarría</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Ricardo Monge González</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Víctor Julio Hernández González</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 xml:space="preserve">Luis Diego Murillo Soto </w:t>
            </w:r>
            <w:r w:rsidRPr="00316A4D">
              <w:rPr>
                <w:rFonts w:ascii="Arial" w:eastAsia="Calibri" w:hAnsi="Arial"/>
                <w:sz w:val="18"/>
                <w:szCs w:val="18"/>
                <w:lang w:val="es-CR" w:eastAsia="en-US"/>
              </w:rPr>
              <w:br/>
              <w:t>Mario Marín Sánchez</w:t>
            </w:r>
          </w:p>
          <w:p w:rsidR="006B1B55" w:rsidRPr="00316A4D" w:rsidRDefault="006B1B55" w:rsidP="006B1B55">
            <w:pPr>
              <w:numPr>
                <w:ilvl w:val="0"/>
                <w:numId w:val="22"/>
              </w:numPr>
              <w:ind w:left="375"/>
              <w:rPr>
                <w:rFonts w:ascii="Arial" w:eastAsia="Calibri" w:hAnsi="Arial"/>
                <w:sz w:val="18"/>
                <w:szCs w:val="18"/>
                <w:lang w:val="es-CR" w:eastAsia="en-US"/>
              </w:rPr>
            </w:pPr>
            <w:r w:rsidRPr="00316A4D">
              <w:rPr>
                <w:rFonts w:ascii="Arial" w:eastAsia="Calibri" w:hAnsi="Arial"/>
                <w:sz w:val="18"/>
                <w:szCs w:val="18"/>
                <w:lang w:val="es-CR" w:eastAsia="en-US"/>
              </w:rPr>
              <w:t>Mónica Zúñiga Rivera</w:t>
            </w:r>
          </w:p>
          <w:p w:rsidR="006B1B55" w:rsidRPr="00316A4D" w:rsidRDefault="006B1B55" w:rsidP="006B1B55">
            <w:pPr>
              <w:numPr>
                <w:ilvl w:val="0"/>
                <w:numId w:val="22"/>
              </w:numPr>
              <w:ind w:left="375"/>
              <w:rPr>
                <w:rFonts w:ascii="Arial" w:eastAsia="Calibri" w:hAnsi="Arial" w:cs="Arial"/>
                <w:b/>
                <w:caps/>
                <w:lang w:val="es-ES_tradnl" w:eastAsia="en-US"/>
              </w:rPr>
            </w:pPr>
            <w:r w:rsidRPr="00316A4D">
              <w:rPr>
                <w:rFonts w:ascii="Arial" w:eastAsia="Calibri" w:hAnsi="Arial"/>
                <w:sz w:val="18"/>
                <w:szCs w:val="18"/>
                <w:lang w:val="es-CR" w:eastAsia="en-US"/>
              </w:rPr>
              <w:t>Virginia Montero Campos</w:t>
            </w:r>
          </w:p>
        </w:tc>
      </w:tr>
    </w:tbl>
    <w:p w:rsidR="006B1B55" w:rsidRPr="00316A4D" w:rsidRDefault="006B1B55" w:rsidP="006B1B55">
      <w:pPr>
        <w:jc w:val="both"/>
        <w:rPr>
          <w:rFonts w:ascii="Arial" w:hAnsi="Arial" w:cs="Arial"/>
          <w:lang w:val="es-ES_tradnl"/>
        </w:rPr>
      </w:pPr>
    </w:p>
    <w:p w:rsidR="006B1B55" w:rsidRDefault="006B1B55" w:rsidP="006B1B55">
      <w:pPr>
        <w:numPr>
          <w:ilvl w:val="0"/>
          <w:numId w:val="17"/>
        </w:numPr>
        <w:tabs>
          <w:tab w:val="clear" w:pos="720"/>
        </w:tabs>
        <w:ind w:left="630"/>
        <w:jc w:val="both"/>
        <w:rPr>
          <w:rFonts w:ascii="Arial" w:hAnsi="Arial" w:cs="Arial"/>
          <w:lang w:val="es-ES_tradnl"/>
        </w:rPr>
      </w:pPr>
      <w:r w:rsidRPr="00316A4D">
        <w:rPr>
          <w:rFonts w:ascii="Arial" w:hAnsi="Arial" w:cs="Arial"/>
          <w:lang w:val="es-ES_tradnl"/>
        </w:rPr>
        <w:t>La Comisión de Planificación y Administración, en las reuniones No. 791-2018 del jueves 11 de octubre de 2019 y No. 793-2019 del jueves 25 de octubre 201</w:t>
      </w:r>
      <w:r>
        <w:rPr>
          <w:rFonts w:ascii="Arial" w:hAnsi="Arial" w:cs="Arial"/>
          <w:lang w:val="es-ES_tradnl"/>
        </w:rPr>
        <w:t>8</w:t>
      </w:r>
      <w:r w:rsidRPr="00316A4D">
        <w:rPr>
          <w:rFonts w:ascii="Arial" w:hAnsi="Arial" w:cs="Arial"/>
          <w:lang w:val="es-ES_tradnl"/>
        </w:rPr>
        <w:t xml:space="preserve">, da audiencia a la Comisión </w:t>
      </w:r>
      <w:r w:rsidRPr="00316A4D">
        <w:rPr>
          <w:rFonts w:ascii="Arial" w:hAnsi="Arial" w:cs="Arial"/>
          <w:lang w:val="es-CR"/>
        </w:rPr>
        <w:t xml:space="preserve">de Evaluación y </w:t>
      </w:r>
      <w:r w:rsidRPr="00316A4D">
        <w:rPr>
          <w:rFonts w:ascii="Arial" w:hAnsi="Arial" w:cs="Arial"/>
          <w:lang w:val="es-ES_tradnl"/>
        </w:rPr>
        <w:t xml:space="preserve">Comisión de Carrera Administrativa y de Apoyo a la Academia, respectivamente, para ampliar el criterio de ambas comisiones sobre la propuesta de </w:t>
      </w:r>
      <w:r w:rsidRPr="00316A4D">
        <w:rPr>
          <w:rFonts w:ascii="Arial" w:hAnsi="Arial" w:cs="Arial"/>
          <w:lang w:val="es-CR"/>
        </w:rPr>
        <w:t>“Reglamento de Carrera de Méritos del ITCR”</w:t>
      </w:r>
      <w:r w:rsidRPr="00316A4D">
        <w:rPr>
          <w:rFonts w:ascii="Arial" w:hAnsi="Arial" w:cs="Arial"/>
          <w:lang w:val="es-ES_tradnl"/>
        </w:rPr>
        <w:t>.</w:t>
      </w:r>
    </w:p>
    <w:p w:rsidR="006B1B55" w:rsidRPr="00316A4D" w:rsidRDefault="006B1B55" w:rsidP="006B1B55">
      <w:pPr>
        <w:ind w:left="360"/>
        <w:jc w:val="both"/>
        <w:rPr>
          <w:rFonts w:ascii="Arial" w:hAnsi="Arial" w:cs="Arial"/>
          <w:lang w:val="es-ES_tradnl"/>
        </w:rPr>
      </w:pPr>
      <w:r w:rsidRPr="00316A4D">
        <w:rPr>
          <w:rFonts w:ascii="Arial" w:hAnsi="Arial" w:cs="Arial"/>
          <w:lang w:val="es-ES_tradnl"/>
        </w:rPr>
        <w:t xml:space="preserve">  </w:t>
      </w:r>
    </w:p>
    <w:p w:rsidR="006B1B55" w:rsidRPr="00316A4D" w:rsidRDefault="006B1B55" w:rsidP="006B1B55">
      <w:pPr>
        <w:numPr>
          <w:ilvl w:val="0"/>
          <w:numId w:val="17"/>
        </w:numPr>
        <w:tabs>
          <w:tab w:val="clear" w:pos="720"/>
        </w:tabs>
        <w:ind w:left="630"/>
        <w:jc w:val="both"/>
        <w:rPr>
          <w:rFonts w:ascii="Arial" w:hAnsi="Arial" w:cs="Arial"/>
          <w:lang w:val="es-ES_tradnl"/>
        </w:rPr>
      </w:pPr>
      <w:r w:rsidRPr="00316A4D">
        <w:rPr>
          <w:rFonts w:ascii="Arial" w:hAnsi="Arial" w:cs="Arial"/>
          <w:lang w:val="es-ES_tradnl"/>
        </w:rPr>
        <w:t xml:space="preserve">En las comparecencias de la Comisión </w:t>
      </w:r>
      <w:r w:rsidRPr="00316A4D">
        <w:rPr>
          <w:rFonts w:ascii="Arial" w:hAnsi="Arial" w:cs="Arial"/>
          <w:lang w:val="es-CR"/>
        </w:rPr>
        <w:t xml:space="preserve">de Evaluación y </w:t>
      </w:r>
      <w:r w:rsidRPr="00316A4D">
        <w:rPr>
          <w:rFonts w:ascii="Arial" w:hAnsi="Arial" w:cs="Arial"/>
          <w:lang w:val="es-ES_tradnl"/>
        </w:rPr>
        <w:t>Comisión de Carrera Administrativa y de Apoyo a la Academia, consignadas en el considerando 12, sus integrantes plantearon la necesidad de introducir reformas a los reglamentos correspondientes.</w:t>
      </w:r>
    </w:p>
    <w:p w:rsidR="006B1B55" w:rsidRPr="00316A4D" w:rsidRDefault="006B1B55" w:rsidP="006B1B55">
      <w:pPr>
        <w:tabs>
          <w:tab w:val="num" w:pos="360"/>
        </w:tabs>
        <w:ind w:left="360"/>
        <w:jc w:val="both"/>
        <w:rPr>
          <w:rFonts w:ascii="Arial" w:hAnsi="Arial" w:cs="Arial"/>
          <w:sz w:val="16"/>
          <w:szCs w:val="16"/>
          <w:lang w:val="es-ES_tradnl"/>
        </w:rPr>
      </w:pPr>
    </w:p>
    <w:p w:rsidR="006B1B55" w:rsidRPr="00316A4D" w:rsidRDefault="006B1B55" w:rsidP="006B1B55">
      <w:pPr>
        <w:numPr>
          <w:ilvl w:val="0"/>
          <w:numId w:val="17"/>
        </w:numPr>
        <w:tabs>
          <w:tab w:val="clear" w:pos="720"/>
        </w:tabs>
        <w:ind w:left="630"/>
        <w:jc w:val="both"/>
        <w:rPr>
          <w:rFonts w:ascii="Arial" w:hAnsi="Arial" w:cs="Arial"/>
          <w:lang w:val="es-ES_tradnl"/>
        </w:rPr>
      </w:pPr>
      <w:r w:rsidRPr="00316A4D">
        <w:rPr>
          <w:rFonts w:ascii="Arial" w:hAnsi="Arial" w:cs="Arial"/>
          <w:lang w:val="es-ES_tradnl"/>
        </w:rPr>
        <w:t xml:space="preserve"> La Comisión de Planificación y Administración en la reunión No. 794-2018, realizada el 1° de noviembre de 2018, revisa ampliamente los criterios detallados en los considerandos anteriores y concluye que lo conveniente es suspender en forma definitiva el trámite de la propuesta de </w:t>
      </w:r>
      <w:r w:rsidRPr="00316A4D">
        <w:rPr>
          <w:rFonts w:ascii="Arial" w:hAnsi="Arial" w:cs="Arial"/>
          <w:lang w:val="es-CR"/>
        </w:rPr>
        <w:t>“Reglamento de Carrera de Méritos del ITCR”</w:t>
      </w:r>
      <w:r w:rsidRPr="00316A4D">
        <w:rPr>
          <w:rFonts w:ascii="Arial" w:hAnsi="Arial" w:cs="Arial"/>
          <w:lang w:val="es-ES_tradnl"/>
        </w:rPr>
        <w:t>. elaborada por la Comisión y enviada a consulta de la Comunidad Institucional, mediante acuerdo del Consejo Institucional de la Sesión Ordinaria No. 3078, Artículo 12, del 27 de junio de 2018.</w:t>
      </w:r>
    </w:p>
    <w:p w:rsidR="006B1B55" w:rsidRPr="00316A4D" w:rsidRDefault="006B1B55" w:rsidP="006B1B55">
      <w:pPr>
        <w:rPr>
          <w:rFonts w:ascii="Arial" w:hAnsi="Arial" w:cs="Arial"/>
          <w:b/>
          <w:i/>
          <w:sz w:val="18"/>
          <w:szCs w:val="18"/>
          <w:lang w:val="es-CR"/>
        </w:rPr>
      </w:pPr>
    </w:p>
    <w:p w:rsidR="006B1B55" w:rsidRPr="00316A4D" w:rsidRDefault="006B1B55" w:rsidP="006B1B55">
      <w:pPr>
        <w:ind w:left="284"/>
        <w:jc w:val="both"/>
        <w:rPr>
          <w:rFonts w:ascii="Arial" w:hAnsi="Arial" w:cs="Arial"/>
          <w:b/>
          <w:bCs/>
        </w:rPr>
      </w:pPr>
      <w:r w:rsidRPr="00316A4D">
        <w:rPr>
          <w:rFonts w:ascii="Arial" w:hAnsi="Arial" w:cs="Arial"/>
          <w:b/>
          <w:bCs/>
        </w:rPr>
        <w:t>SE</w:t>
      </w:r>
      <w:r>
        <w:rPr>
          <w:rFonts w:ascii="Arial" w:hAnsi="Arial" w:cs="Arial"/>
          <w:b/>
          <w:bCs/>
        </w:rPr>
        <w:t xml:space="preserve"> ACUERDA</w:t>
      </w:r>
      <w:r w:rsidRPr="00316A4D">
        <w:rPr>
          <w:rFonts w:ascii="Arial" w:hAnsi="Arial" w:cs="Arial"/>
          <w:b/>
          <w:bCs/>
        </w:rPr>
        <w:t>:</w:t>
      </w:r>
    </w:p>
    <w:p w:rsidR="006B1B55" w:rsidRPr="00316A4D" w:rsidRDefault="006B1B55" w:rsidP="006B1B55">
      <w:pPr>
        <w:rPr>
          <w:rFonts w:ascii="Arial" w:hAnsi="Arial" w:cs="Arial"/>
          <w:b/>
          <w:i/>
          <w:sz w:val="16"/>
          <w:szCs w:val="16"/>
        </w:rPr>
      </w:pPr>
    </w:p>
    <w:p w:rsidR="006B1B55" w:rsidRPr="00316A4D" w:rsidRDefault="006B1B55" w:rsidP="006B1B55">
      <w:pPr>
        <w:numPr>
          <w:ilvl w:val="0"/>
          <w:numId w:val="16"/>
        </w:numPr>
        <w:ind w:left="588" w:hanging="304"/>
        <w:contextualSpacing/>
        <w:jc w:val="both"/>
        <w:rPr>
          <w:rFonts w:ascii="Arial" w:hAnsi="Arial" w:cs="Arial"/>
          <w:b/>
          <w:i/>
          <w:sz w:val="16"/>
          <w:szCs w:val="16"/>
        </w:rPr>
      </w:pPr>
      <w:r w:rsidRPr="00316A4D">
        <w:rPr>
          <w:rFonts w:ascii="ArialMT" w:eastAsia="Cambria" w:hAnsi="ArialMT" w:cs="ArialMT"/>
          <w:lang w:eastAsia="es-CR"/>
        </w:rPr>
        <w:lastRenderedPageBreak/>
        <w:t xml:space="preserve">Suspender en forma definitiva el trámite de la propuesta </w:t>
      </w:r>
      <w:proofErr w:type="gramStart"/>
      <w:r w:rsidRPr="00316A4D">
        <w:rPr>
          <w:rFonts w:ascii="ArialMT" w:eastAsia="Cambria" w:hAnsi="ArialMT" w:cs="ArialMT"/>
          <w:lang w:eastAsia="es-CR"/>
        </w:rPr>
        <w:t xml:space="preserve">de  </w:t>
      </w:r>
      <w:r w:rsidRPr="00316A4D">
        <w:rPr>
          <w:rFonts w:ascii="Arial" w:hAnsi="Arial" w:cs="Arial"/>
          <w:lang w:val="es-CR"/>
        </w:rPr>
        <w:t>“</w:t>
      </w:r>
      <w:proofErr w:type="gramEnd"/>
      <w:r w:rsidRPr="00316A4D">
        <w:rPr>
          <w:rFonts w:ascii="Arial" w:hAnsi="Arial" w:cs="Arial"/>
          <w:lang w:val="es-CR"/>
        </w:rPr>
        <w:t>Reglamento de Carrera de Méritos del ITCR”</w:t>
      </w:r>
      <w:r w:rsidRPr="00316A4D">
        <w:rPr>
          <w:rFonts w:ascii="Arial" w:hAnsi="Arial" w:cs="Arial"/>
          <w:lang w:val="es-ES_tradnl"/>
        </w:rPr>
        <w:t xml:space="preserve"> </w:t>
      </w:r>
      <w:r w:rsidRPr="00316A4D">
        <w:rPr>
          <w:rFonts w:ascii="Arial" w:hAnsi="Arial" w:cs="Arial"/>
          <w:lang w:val="es-CR"/>
        </w:rPr>
        <w:t xml:space="preserve">elaborada por la Comisión de Planificación y Administración,  </w:t>
      </w:r>
      <w:r w:rsidRPr="00316A4D">
        <w:rPr>
          <w:rFonts w:ascii="Arial" w:hAnsi="Arial" w:cs="Arial"/>
          <w:lang w:val="es-ES_tradnl"/>
        </w:rPr>
        <w:t>según consulta de la Comunidad Institucional, mediante acuerdo del Consejo Institucional, Sesión Ordinaria No. 3078, Artículo 12, del 27 de junio de 2018, y ordenar su archivo.</w:t>
      </w:r>
    </w:p>
    <w:p w:rsidR="006B1B55" w:rsidRPr="00316A4D" w:rsidRDefault="006B1B55" w:rsidP="006B1B55">
      <w:pPr>
        <w:ind w:left="588"/>
        <w:rPr>
          <w:rFonts w:ascii="Arial" w:hAnsi="Arial" w:cs="Arial"/>
          <w:b/>
          <w:i/>
          <w:sz w:val="16"/>
          <w:szCs w:val="16"/>
        </w:rPr>
      </w:pPr>
    </w:p>
    <w:p w:rsidR="006B1B55" w:rsidRPr="00316A4D" w:rsidRDefault="006B1B55" w:rsidP="006B1B55">
      <w:pPr>
        <w:numPr>
          <w:ilvl w:val="0"/>
          <w:numId w:val="16"/>
        </w:numPr>
        <w:ind w:left="588"/>
        <w:contextualSpacing/>
        <w:jc w:val="both"/>
        <w:rPr>
          <w:rFonts w:ascii="Arial" w:hAnsi="Arial" w:cs="Arial"/>
          <w:b/>
          <w:i/>
          <w:sz w:val="16"/>
          <w:szCs w:val="16"/>
        </w:rPr>
      </w:pPr>
      <w:r w:rsidRPr="00316A4D">
        <w:rPr>
          <w:rFonts w:ascii="ArialMT" w:eastAsia="Cambria" w:hAnsi="ArialMT" w:cs="ArialMT"/>
          <w:lang w:eastAsia="es-CR"/>
        </w:rPr>
        <w:t xml:space="preserve">Solicitar a la </w:t>
      </w:r>
      <w:r w:rsidRPr="00316A4D">
        <w:rPr>
          <w:rFonts w:ascii="Arial" w:hAnsi="Arial" w:cs="Arial"/>
          <w:lang w:val="es-ES_tradnl"/>
        </w:rPr>
        <w:t xml:space="preserve">Comisión </w:t>
      </w:r>
      <w:r w:rsidRPr="00316A4D">
        <w:rPr>
          <w:rFonts w:ascii="Arial" w:hAnsi="Arial" w:cs="Arial"/>
          <w:lang w:val="es-CR"/>
        </w:rPr>
        <w:t xml:space="preserve">de Evaluación y a la </w:t>
      </w:r>
      <w:r w:rsidRPr="00316A4D">
        <w:rPr>
          <w:rFonts w:ascii="Arial" w:hAnsi="Arial" w:cs="Arial"/>
          <w:lang w:val="es-ES_tradnl"/>
        </w:rPr>
        <w:t>Comisión de Carrera Administrativa y de Apoyo a la Academia, que presenten sendas propuestas de reformas puntuales al “Reglamento de carrera profesional del Instituto Tecnológico de Costa Rica y sus reformas” y “Reglamento del Sistema Escalafón de Carrera Administrativa y de la Academia”, respectivamente, que favorezca la actualización de esa normativa.</w:t>
      </w:r>
    </w:p>
    <w:p w:rsidR="006B1B55" w:rsidRPr="00F548D2" w:rsidRDefault="006B1B55" w:rsidP="006B1B55">
      <w:pPr>
        <w:ind w:left="588"/>
        <w:jc w:val="both"/>
        <w:rPr>
          <w:rFonts w:ascii="Arial" w:eastAsia="Cambria" w:hAnsi="Arial" w:cs="Arial"/>
          <w:lang w:val="es-CR" w:eastAsia="en-US"/>
        </w:rPr>
      </w:pPr>
    </w:p>
    <w:p w:rsidR="006B1B55" w:rsidRPr="0035430B" w:rsidRDefault="006B1B55" w:rsidP="006B1B55">
      <w:pPr>
        <w:numPr>
          <w:ilvl w:val="0"/>
          <w:numId w:val="16"/>
        </w:numPr>
        <w:ind w:left="588"/>
        <w:contextualSpacing/>
        <w:jc w:val="both"/>
        <w:rPr>
          <w:rFonts w:ascii="Arial" w:hAnsi="Arial" w:cs="Arial"/>
          <w:lang w:eastAsia="en-US"/>
        </w:rPr>
      </w:pPr>
      <w:r w:rsidRPr="00D31240">
        <w:rPr>
          <w:rFonts w:ascii="Arial" w:eastAsia="Calibri" w:hAnsi="Arial" w:cs="Arial"/>
          <w:color w:val="000000"/>
          <w:lang w:val="es-CR" w:eastAsia="en-US"/>
        </w:rPr>
        <w:t>Indicar</w:t>
      </w:r>
      <w:r w:rsidRPr="0035430B">
        <w:rPr>
          <w:rFonts w:ascii="Arial" w:hAnsi="Arial" w:cs="Arial"/>
          <w:lang w:val="es-CR"/>
        </w:rPr>
        <w:t xml:space="preserve"> que c</w:t>
      </w:r>
      <w:proofErr w:type="spellStart"/>
      <w:r w:rsidRPr="0035430B">
        <w:rPr>
          <w:rFonts w:ascii="Arial" w:hAnsi="Arial" w:cs="Arial"/>
        </w:rPr>
        <w:t>ontra</w:t>
      </w:r>
      <w:proofErr w:type="spellEnd"/>
      <w:r w:rsidRPr="0035430B">
        <w:rPr>
          <w:rFonts w:ascii="Arial" w:hAnsi="Arial" w:cs="Arial"/>
        </w:rPr>
        <w:t xml:space="preserve"> este acuerdo podrá interponerse re</w:t>
      </w:r>
      <w:r>
        <w:rPr>
          <w:rFonts w:ascii="Arial" w:hAnsi="Arial" w:cs="Arial"/>
        </w:rPr>
        <w:t>curso de revocatoria ante este C</w:t>
      </w:r>
      <w:r w:rsidRPr="0035430B">
        <w:rPr>
          <w:rFonts w:ascii="Arial" w:hAnsi="Arial" w:cs="Arial"/>
        </w:rPr>
        <w:t xml:space="preserve">onsejo o de apelación ante la Asamblea Institucional </w:t>
      </w:r>
      <w:r w:rsidRPr="00BD09BC">
        <w:rPr>
          <w:rFonts w:ascii="ArialMT" w:eastAsia="Cambria" w:hAnsi="ArialMT" w:cs="ArialMT"/>
          <w:lang w:eastAsia="es-CR"/>
        </w:rPr>
        <w:t>Representativa</w:t>
      </w:r>
      <w:r w:rsidRPr="0035430B">
        <w:rPr>
          <w:rFonts w:ascii="Arial" w:hAnsi="Arial" w:cs="Arial"/>
        </w:rPr>
        <w:t xml:space="preserve">, o los extraordinarios </w:t>
      </w:r>
      <w:r w:rsidRPr="00D31240">
        <w:rPr>
          <w:rFonts w:ascii="Arial" w:eastAsia="Calibri" w:hAnsi="Arial" w:cs="Arial"/>
          <w:color w:val="000000"/>
          <w:lang w:val="es-CR" w:eastAsia="en-US"/>
        </w:rPr>
        <w:t>de</w:t>
      </w:r>
      <w:r w:rsidRPr="0035430B">
        <w:rPr>
          <w:rFonts w:ascii="Arial" w:hAnsi="Arial" w:cs="Arial"/>
        </w:rPr>
        <w:t xml:space="preserve"> aclaración o adición, en el plazo máximo de cinco días hábiles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rsidR="00C46475" w:rsidRPr="00C46475" w:rsidRDefault="00C46475" w:rsidP="00C46475">
      <w:pPr>
        <w:jc w:val="both"/>
        <w:rPr>
          <w:rFonts w:ascii="Arial" w:eastAsia="Calibri" w:hAnsi="Arial" w:cs="Arial"/>
          <w:sz w:val="22"/>
          <w:szCs w:val="22"/>
          <w:lang w:val="es-CR"/>
        </w:rPr>
      </w:pPr>
    </w:p>
    <w:p w:rsidR="00917157" w:rsidRPr="006B1B55" w:rsidRDefault="003C360C" w:rsidP="006B1B55">
      <w:pPr>
        <w:pStyle w:val="Prrafodelista"/>
        <w:numPr>
          <w:ilvl w:val="0"/>
          <w:numId w:val="6"/>
        </w:numPr>
        <w:contextualSpacing/>
        <w:jc w:val="both"/>
        <w:rPr>
          <w:rFonts w:ascii="Arial" w:hAnsi="Arial" w:cs="Arial"/>
        </w:rPr>
      </w:pPr>
      <w:bookmarkStart w:id="0" w:name="_GoBack"/>
      <w:r w:rsidRPr="003C360C">
        <w:rPr>
          <w:rFonts w:ascii="Arial" w:hAnsi="Arial" w:cs="Arial"/>
          <w:lang w:val="es-CR"/>
        </w:rPr>
        <w:t>Comunicar.</w:t>
      </w:r>
      <w:r>
        <w:rPr>
          <w:rFonts w:ascii="Arial" w:hAnsi="Arial" w:cs="Arial"/>
          <w:b/>
          <w:lang w:val="es-CR"/>
        </w:rPr>
        <w:t xml:space="preserve"> </w:t>
      </w:r>
      <w:bookmarkEnd w:id="0"/>
      <w:r>
        <w:rPr>
          <w:rFonts w:ascii="Arial" w:hAnsi="Arial" w:cs="Arial"/>
          <w:b/>
          <w:lang w:val="es-CR"/>
        </w:rPr>
        <w:t xml:space="preserve"> </w:t>
      </w:r>
      <w:r w:rsidR="00917157">
        <w:rPr>
          <w:rFonts w:ascii="Arial" w:hAnsi="Arial" w:cs="Arial"/>
          <w:b/>
          <w:lang w:val="es-CR"/>
        </w:rPr>
        <w:t>ACUERDO FIRME.</w:t>
      </w:r>
    </w:p>
    <w:p w:rsidR="006B1B55" w:rsidRDefault="006B1B55" w:rsidP="006B1B55">
      <w:pPr>
        <w:contextualSpacing/>
        <w:jc w:val="both"/>
        <w:rPr>
          <w:rFonts w:ascii="Arial" w:hAnsi="Arial" w:cs="Arial"/>
          <w:b/>
          <w:lang w:val="es-CR"/>
        </w:rPr>
      </w:pPr>
    </w:p>
    <w:p w:rsidR="006B1B55" w:rsidRPr="00ED72F3" w:rsidRDefault="006B1B55" w:rsidP="006B1B55">
      <w:pPr>
        <w:contextualSpacing/>
        <w:jc w:val="both"/>
        <w:rPr>
          <w:rFonts w:ascii="Arial" w:hAnsi="Arial" w:cs="Arial"/>
        </w:rPr>
      </w:pPr>
    </w:p>
    <w:p w:rsidR="006B1B55" w:rsidRDefault="006B1B55" w:rsidP="006B1B55">
      <w:pPr>
        <w:jc w:val="both"/>
        <w:rPr>
          <w:rFonts w:ascii="Arial" w:hAnsi="Arial" w:cs="Arial"/>
          <w:b/>
          <w:i/>
          <w:sz w:val="22"/>
          <w:szCs w:val="22"/>
        </w:rPr>
      </w:pPr>
      <w:r w:rsidRPr="00316A4D">
        <w:rPr>
          <w:rFonts w:ascii="Arial" w:hAnsi="Arial" w:cs="Arial"/>
          <w:b/>
          <w:i/>
          <w:sz w:val="22"/>
          <w:szCs w:val="22"/>
        </w:rPr>
        <w:t xml:space="preserve">Palabras clave: suspender – trámite – Reglamento – Carrera – Méritos </w:t>
      </w:r>
      <w:r>
        <w:rPr>
          <w:rFonts w:ascii="Arial" w:hAnsi="Arial" w:cs="Arial"/>
          <w:b/>
          <w:i/>
          <w:sz w:val="22"/>
          <w:szCs w:val="22"/>
        </w:rPr>
        <w:t>–</w:t>
      </w:r>
      <w:r w:rsidRPr="00316A4D">
        <w:rPr>
          <w:rFonts w:ascii="Arial" w:hAnsi="Arial" w:cs="Arial"/>
          <w:b/>
          <w:i/>
          <w:sz w:val="22"/>
          <w:szCs w:val="22"/>
        </w:rPr>
        <w:t xml:space="preserve"> ITCR</w:t>
      </w:r>
    </w:p>
    <w:p w:rsidR="00ED72F3" w:rsidRPr="00F873EA" w:rsidRDefault="00ED72F3" w:rsidP="00ED72F3">
      <w:pPr>
        <w:contextualSpacing/>
        <w:jc w:val="both"/>
        <w:rPr>
          <w:rFonts w:ascii="Arial" w:hAnsi="Arial" w:cs="Arial"/>
        </w:rPr>
      </w:pPr>
    </w:p>
    <w:p w:rsidR="00CF46CC" w:rsidRPr="00ED72F3" w:rsidRDefault="00CF46CC" w:rsidP="00ED72F3">
      <w:pPr>
        <w:ind w:left="-709" w:firstLine="709"/>
        <w:rPr>
          <w:rFonts w:ascii="Arial" w:hAnsi="Arial" w:cs="Arial"/>
          <w:b/>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077CC" w:rsidRPr="000077CC" w:rsidRDefault="00C413F4" w:rsidP="001E3F3C">
      <w:pPr>
        <w:jc w:val="both"/>
        <w:rPr>
          <w:rFonts w:ascii="Arial" w:hAnsi="Arial" w:cs="Arial"/>
          <w:b/>
          <w:sz w:val="16"/>
          <w:szCs w:val="16"/>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B77B04" w:rsidRDefault="00B77B04" w:rsidP="00F41044">
      <w:pPr>
        <w:jc w:val="both"/>
        <w:rPr>
          <w:rFonts w:ascii="Arial" w:eastAsia="Cambria" w:hAnsi="Arial" w:cs="Arial"/>
          <w:sz w:val="22"/>
          <w:szCs w:val="22"/>
          <w:lang w:val="es-CR" w:eastAsia="en-US"/>
        </w:rPr>
      </w:pP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Default="002C0D34" w:rsidP="00C6045C">
      <w:pPr>
        <w:ind w:left="851"/>
        <w:jc w:val="both"/>
        <w:rPr>
          <w:rFonts w:ascii="Arial" w:eastAsia="Cambria" w:hAnsi="Arial" w:cs="Arial"/>
          <w:sz w:val="22"/>
          <w:szCs w:val="22"/>
          <w:lang w:val="es-CR" w:eastAsia="en-US"/>
        </w:rPr>
      </w:pPr>
    </w:p>
    <w:p w:rsidR="00ED72F3" w:rsidRDefault="00ED72F3" w:rsidP="00C6045C">
      <w:pPr>
        <w:ind w:left="851"/>
        <w:jc w:val="both"/>
        <w:rPr>
          <w:rFonts w:ascii="Arial" w:eastAsia="Cambria" w:hAnsi="Arial" w:cs="Arial"/>
          <w:sz w:val="22"/>
          <w:szCs w:val="22"/>
          <w:lang w:val="es-CR" w:eastAsia="en-US"/>
        </w:rPr>
      </w:pPr>
    </w:p>
    <w:p w:rsidR="00ED72F3" w:rsidRPr="00B77B04" w:rsidRDefault="00ED72F3" w:rsidP="00C6045C">
      <w:pPr>
        <w:ind w:left="851"/>
        <w:jc w:val="both"/>
        <w:rPr>
          <w:rFonts w:ascii="Arial" w:eastAsia="Cambria" w:hAnsi="Arial" w:cs="Arial"/>
          <w:sz w:val="22"/>
          <w:szCs w:val="22"/>
          <w:lang w:val="es-CR" w:eastAsia="en-US"/>
        </w:rPr>
      </w:pPr>
    </w:p>
    <w:sectPr w:rsidR="00ED72F3" w:rsidRPr="00B77B0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1F" w:rsidRDefault="0027711F">
      <w:r>
        <w:separator/>
      </w:r>
    </w:p>
  </w:endnote>
  <w:endnote w:type="continuationSeparator" w:id="0">
    <w:p w:rsidR="0027711F" w:rsidRDefault="0027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1F" w:rsidRDefault="0027711F">
      <w:r>
        <w:separator/>
      </w:r>
    </w:p>
  </w:footnote>
  <w:footnote w:type="continuationSeparator" w:id="0">
    <w:p w:rsidR="0027711F" w:rsidRDefault="00277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w:t>
    </w:r>
    <w:r w:rsidR="001E3F3C">
      <w:rPr>
        <w:rFonts w:ascii="Arial" w:eastAsia="Cambria" w:hAnsi="Arial" w:cs="Arial"/>
        <w:i/>
        <w:sz w:val="18"/>
        <w:szCs w:val="18"/>
        <w:lang w:val="es-ES_tradnl" w:eastAsia="x-none"/>
      </w:rPr>
      <w:t>1</w:t>
    </w:r>
    <w:r w:rsidR="001F3B35">
      <w:rPr>
        <w:rFonts w:ascii="Arial" w:eastAsia="Cambria" w:hAnsi="Arial" w:cs="Arial"/>
        <w:i/>
        <w:sz w:val="18"/>
        <w:szCs w:val="18"/>
        <w:lang w:val="es-ES_tradnl" w:eastAsia="x-none"/>
      </w:rPr>
      <w:t>5</w:t>
    </w:r>
    <w:r w:rsidRPr="00D958BC">
      <w:rPr>
        <w:rFonts w:ascii="Arial" w:eastAsia="Cambria" w:hAnsi="Arial" w:cs="Arial"/>
        <w:i/>
        <w:sz w:val="18"/>
        <w:szCs w:val="18"/>
        <w:lang w:val="es-ES_tradnl" w:eastAsia="x-none"/>
      </w:rPr>
      <w:t xml:space="preserve"> Artículo </w:t>
    </w:r>
    <w:r w:rsidR="006B1B55">
      <w:rPr>
        <w:rFonts w:ascii="Arial" w:eastAsia="Cambria" w:hAnsi="Arial" w:cs="Arial"/>
        <w:i/>
        <w:sz w:val="18"/>
        <w:szCs w:val="18"/>
        <w:lang w:val="es-ES_tradnl" w:eastAsia="x-none"/>
      </w:rPr>
      <w:t>10</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1F3B35">
      <w:rPr>
        <w:rFonts w:ascii="Arial" w:eastAsia="Cambria" w:hAnsi="Arial" w:cs="Arial"/>
        <w:i/>
        <w:sz w:val="18"/>
        <w:szCs w:val="18"/>
        <w:lang w:val="es-ES_tradnl" w:eastAsia="x-none"/>
      </w:rPr>
      <w:t>30</w:t>
    </w:r>
    <w:r w:rsidR="005A7222">
      <w:rPr>
        <w:rFonts w:ascii="Arial" w:eastAsia="Cambria" w:hAnsi="Arial" w:cs="Arial"/>
        <w:i/>
        <w:sz w:val="18"/>
        <w:szCs w:val="18"/>
        <w:lang w:val="es-ES_tradnl" w:eastAsia="x-none"/>
      </w:rPr>
      <w:t xml:space="preserve"> de abril </w:t>
    </w:r>
    <w:r w:rsidRPr="00D958BC">
      <w:rPr>
        <w:rFonts w:ascii="Arial" w:eastAsia="Cambria" w:hAnsi="Arial" w:cs="Arial"/>
        <w:i/>
        <w:sz w:val="18"/>
        <w:szCs w:val="18"/>
        <w:lang w:val="es-ES_tradnl" w:eastAsia="x-none"/>
      </w:rPr>
      <w:t>de 201</w:t>
    </w:r>
    <w:r w:rsidR="00AA61D4">
      <w:rPr>
        <w:rFonts w:ascii="Arial" w:eastAsia="Cambria" w:hAnsi="Arial" w:cs="Arial"/>
        <w:i/>
        <w:sz w:val="18"/>
        <w:szCs w:val="18"/>
        <w:lang w:val="es-ES_tradnl" w:eastAsia="x-none"/>
      </w:rPr>
      <w:t>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3C360C">
      <w:rPr>
        <w:rFonts w:ascii="Arial" w:eastAsia="Cambria" w:hAnsi="Arial" w:cs="Arial"/>
        <w:i/>
        <w:noProof/>
        <w:sz w:val="18"/>
        <w:szCs w:val="18"/>
        <w:lang w:val="es-ES_tradnl" w:eastAsia="x-none"/>
      </w:rPr>
      <w:t>7</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911675"/>
    <w:multiLevelType w:val="hybridMultilevel"/>
    <w:tmpl w:val="6C4E444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Times New Roman"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Times New Roman"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Times New Roman"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12DB1622"/>
    <w:multiLevelType w:val="hybridMultilevel"/>
    <w:tmpl w:val="3B00C8E4"/>
    <w:lvl w:ilvl="0" w:tplc="78B4FC56">
      <w:start w:val="1"/>
      <w:numFmt w:val="decimal"/>
      <w:lvlText w:val="%1."/>
      <w:lvlJc w:val="left"/>
      <w:pPr>
        <w:ind w:left="720" w:hanging="360"/>
      </w:pPr>
      <w:rPr>
        <w:b/>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7D2700B"/>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3B497B"/>
    <w:multiLevelType w:val="hybridMultilevel"/>
    <w:tmpl w:val="69C64498"/>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37852E90"/>
    <w:multiLevelType w:val="hybridMultilevel"/>
    <w:tmpl w:val="5ECC2DE6"/>
    <w:lvl w:ilvl="0" w:tplc="0D1C376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6F2D92"/>
    <w:multiLevelType w:val="multilevel"/>
    <w:tmpl w:val="C820FF60"/>
    <w:lvl w:ilvl="0">
      <w:start w:val="1"/>
      <w:numFmt w:val="decimal"/>
      <w:lvlText w:val="%1."/>
      <w:lvlJc w:val="left"/>
      <w:pPr>
        <w:tabs>
          <w:tab w:val="num" w:pos="3252"/>
        </w:tabs>
        <w:ind w:left="3252" w:hanging="360"/>
      </w:pPr>
    </w:lvl>
    <w:lvl w:ilvl="1" w:tentative="1">
      <w:start w:val="1"/>
      <w:numFmt w:val="decimal"/>
      <w:lvlText w:val="%2."/>
      <w:lvlJc w:val="left"/>
      <w:pPr>
        <w:tabs>
          <w:tab w:val="num" w:pos="3972"/>
        </w:tabs>
        <w:ind w:left="3972" w:hanging="360"/>
      </w:pPr>
    </w:lvl>
    <w:lvl w:ilvl="2" w:tentative="1">
      <w:start w:val="1"/>
      <w:numFmt w:val="decimal"/>
      <w:lvlText w:val="%3."/>
      <w:lvlJc w:val="left"/>
      <w:pPr>
        <w:tabs>
          <w:tab w:val="num" w:pos="4692"/>
        </w:tabs>
        <w:ind w:left="4692" w:hanging="360"/>
      </w:pPr>
    </w:lvl>
    <w:lvl w:ilvl="3" w:tentative="1">
      <w:start w:val="1"/>
      <w:numFmt w:val="decimal"/>
      <w:lvlText w:val="%4."/>
      <w:lvlJc w:val="left"/>
      <w:pPr>
        <w:tabs>
          <w:tab w:val="num" w:pos="5412"/>
        </w:tabs>
        <w:ind w:left="5412" w:hanging="360"/>
      </w:pPr>
    </w:lvl>
    <w:lvl w:ilvl="4" w:tentative="1">
      <w:start w:val="1"/>
      <w:numFmt w:val="decimal"/>
      <w:lvlText w:val="%5."/>
      <w:lvlJc w:val="left"/>
      <w:pPr>
        <w:tabs>
          <w:tab w:val="num" w:pos="6132"/>
        </w:tabs>
        <w:ind w:left="6132" w:hanging="360"/>
      </w:pPr>
    </w:lvl>
    <w:lvl w:ilvl="5" w:tentative="1">
      <w:start w:val="1"/>
      <w:numFmt w:val="decimal"/>
      <w:lvlText w:val="%6."/>
      <w:lvlJc w:val="left"/>
      <w:pPr>
        <w:tabs>
          <w:tab w:val="num" w:pos="6852"/>
        </w:tabs>
        <w:ind w:left="6852" w:hanging="360"/>
      </w:pPr>
    </w:lvl>
    <w:lvl w:ilvl="6" w:tentative="1">
      <w:start w:val="1"/>
      <w:numFmt w:val="decimal"/>
      <w:lvlText w:val="%7."/>
      <w:lvlJc w:val="left"/>
      <w:pPr>
        <w:tabs>
          <w:tab w:val="num" w:pos="7572"/>
        </w:tabs>
        <w:ind w:left="7572" w:hanging="360"/>
      </w:pPr>
    </w:lvl>
    <w:lvl w:ilvl="7" w:tentative="1">
      <w:start w:val="1"/>
      <w:numFmt w:val="decimal"/>
      <w:lvlText w:val="%8."/>
      <w:lvlJc w:val="left"/>
      <w:pPr>
        <w:tabs>
          <w:tab w:val="num" w:pos="8292"/>
        </w:tabs>
        <w:ind w:left="8292" w:hanging="360"/>
      </w:pPr>
    </w:lvl>
    <w:lvl w:ilvl="8" w:tentative="1">
      <w:start w:val="1"/>
      <w:numFmt w:val="decimal"/>
      <w:lvlText w:val="%9."/>
      <w:lvlJc w:val="left"/>
      <w:pPr>
        <w:tabs>
          <w:tab w:val="num" w:pos="9012"/>
        </w:tabs>
        <w:ind w:left="9012" w:hanging="360"/>
      </w:pPr>
    </w:lvl>
  </w:abstractNum>
  <w:abstractNum w:abstractNumId="10" w15:restartNumberingAfterBreak="0">
    <w:nsid w:val="415B14ED"/>
    <w:multiLevelType w:val="hybridMultilevel"/>
    <w:tmpl w:val="97E6E832"/>
    <w:lvl w:ilvl="0" w:tplc="4ABA2008">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1ED594C"/>
    <w:multiLevelType w:val="hybridMultilevel"/>
    <w:tmpl w:val="ED0EF1A8"/>
    <w:lvl w:ilvl="0" w:tplc="D62E1A0C">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2" w15:restartNumberingAfterBreak="0">
    <w:nsid w:val="45C31E7A"/>
    <w:multiLevelType w:val="hybridMultilevel"/>
    <w:tmpl w:val="07AEE9D0"/>
    <w:lvl w:ilvl="0" w:tplc="8EF00520">
      <w:start w:val="1"/>
      <w:numFmt w:val="decimal"/>
      <w:lvlText w:val="%1."/>
      <w:lvlJc w:val="left"/>
      <w:pPr>
        <w:ind w:left="360" w:hanging="360"/>
      </w:pPr>
      <w:rPr>
        <w:b/>
        <w:i w:val="0"/>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8B6092"/>
    <w:multiLevelType w:val="hybridMultilevel"/>
    <w:tmpl w:val="F580ECF4"/>
    <w:lvl w:ilvl="0" w:tplc="E40E742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51840198"/>
    <w:multiLevelType w:val="hybridMultilevel"/>
    <w:tmpl w:val="92DA360A"/>
    <w:lvl w:ilvl="0" w:tplc="DF344760">
      <w:start w:val="1"/>
      <w:numFmt w:val="upperRoman"/>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2B634D6"/>
    <w:multiLevelType w:val="hybridMultilevel"/>
    <w:tmpl w:val="814267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326768F"/>
    <w:multiLevelType w:val="hybridMultilevel"/>
    <w:tmpl w:val="531A6E9C"/>
    <w:lvl w:ilvl="0" w:tplc="D62E1A0C">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7" w15:restartNumberingAfterBreak="0">
    <w:nsid w:val="6399399C"/>
    <w:multiLevelType w:val="hybridMultilevel"/>
    <w:tmpl w:val="ED2EAF30"/>
    <w:lvl w:ilvl="0" w:tplc="446062C6">
      <w:start w:val="1"/>
      <w:numFmt w:val="lowerLetter"/>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FD336ED"/>
    <w:multiLevelType w:val="hybridMultilevel"/>
    <w:tmpl w:val="3F02B9EC"/>
    <w:lvl w:ilvl="0" w:tplc="EED4F206">
      <w:start w:val="1"/>
      <w:numFmt w:val="lowerLetter"/>
      <w:lvlText w:val="%1."/>
      <w:lvlJc w:val="left"/>
      <w:pPr>
        <w:ind w:left="360" w:hanging="360"/>
      </w:pPr>
      <w:rPr>
        <w:rFonts w:hint="default"/>
        <w:b/>
        <w:i w:val="0"/>
        <w:strike w:val="0"/>
        <w:color w:val="auto"/>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FC32BA"/>
    <w:multiLevelType w:val="hybridMultilevel"/>
    <w:tmpl w:val="A78A0200"/>
    <w:lvl w:ilvl="0" w:tplc="32CC3A2C">
      <w:start w:val="2"/>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91A38DB"/>
    <w:multiLevelType w:val="hybridMultilevel"/>
    <w:tmpl w:val="7244280C"/>
    <w:lvl w:ilvl="0" w:tplc="DBD4D45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13"/>
  </w:num>
  <w:num w:numId="5">
    <w:abstractNumId w:val="21"/>
  </w:num>
  <w:num w:numId="6">
    <w:abstractNumId w:val="7"/>
  </w:num>
  <w:num w:numId="7">
    <w:abstractNumId w:val="6"/>
  </w:num>
  <w:num w:numId="8">
    <w:abstractNumId w:val="14"/>
  </w:num>
  <w:num w:numId="9">
    <w:abstractNumId w:val="18"/>
  </w:num>
  <w:num w:numId="10">
    <w:abstractNumId w:val="12"/>
  </w:num>
  <w:num w:numId="11">
    <w:abstractNumId w:val="9"/>
  </w:num>
  <w:num w:numId="12">
    <w:abstractNumId w:val="20"/>
  </w:num>
  <w:num w:numId="13">
    <w:abstractNumId w:val="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0"/>
  </w:num>
  <w:num w:numId="18">
    <w:abstractNumId w:val="5"/>
  </w:num>
  <w:num w:numId="19">
    <w:abstractNumId w:val="15"/>
  </w:num>
  <w:num w:numId="20">
    <w:abstractNumId w:val="2"/>
  </w:num>
  <w:num w:numId="21">
    <w:abstractNumId w:val="16"/>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077CC"/>
    <w:rsid w:val="00010592"/>
    <w:rsid w:val="00011DBE"/>
    <w:rsid w:val="000120EB"/>
    <w:rsid w:val="000128E2"/>
    <w:rsid w:val="000152E6"/>
    <w:rsid w:val="00017DE2"/>
    <w:rsid w:val="00020858"/>
    <w:rsid w:val="000213DD"/>
    <w:rsid w:val="00024564"/>
    <w:rsid w:val="00024A27"/>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63D3"/>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A5D"/>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3F3C"/>
    <w:rsid w:val="001E684C"/>
    <w:rsid w:val="001E69A6"/>
    <w:rsid w:val="001E69C9"/>
    <w:rsid w:val="001E6DC5"/>
    <w:rsid w:val="001F0C0F"/>
    <w:rsid w:val="001F26FD"/>
    <w:rsid w:val="001F3B35"/>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3D21"/>
    <w:rsid w:val="00264EFA"/>
    <w:rsid w:val="00266024"/>
    <w:rsid w:val="00266221"/>
    <w:rsid w:val="002668E5"/>
    <w:rsid w:val="0026727D"/>
    <w:rsid w:val="00267A3B"/>
    <w:rsid w:val="00267FAF"/>
    <w:rsid w:val="002743B7"/>
    <w:rsid w:val="00274B8E"/>
    <w:rsid w:val="00275822"/>
    <w:rsid w:val="00275FE3"/>
    <w:rsid w:val="0027711F"/>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47F1"/>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24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60C"/>
    <w:rsid w:val="003C388C"/>
    <w:rsid w:val="003C46A0"/>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035"/>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5D5E"/>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222"/>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3D1A"/>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2D8A"/>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B55"/>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0E65"/>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06ED"/>
    <w:rsid w:val="00700F21"/>
    <w:rsid w:val="00704042"/>
    <w:rsid w:val="00706FEC"/>
    <w:rsid w:val="0071118B"/>
    <w:rsid w:val="007133B5"/>
    <w:rsid w:val="007140BA"/>
    <w:rsid w:val="0071574F"/>
    <w:rsid w:val="00716307"/>
    <w:rsid w:val="00716A85"/>
    <w:rsid w:val="00717E7B"/>
    <w:rsid w:val="00720E26"/>
    <w:rsid w:val="00722637"/>
    <w:rsid w:val="00722F40"/>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806"/>
    <w:rsid w:val="00791D2B"/>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5D0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4B0"/>
    <w:rsid w:val="00911F5C"/>
    <w:rsid w:val="00911F70"/>
    <w:rsid w:val="009120EB"/>
    <w:rsid w:val="00914473"/>
    <w:rsid w:val="00914F38"/>
    <w:rsid w:val="00915D94"/>
    <w:rsid w:val="00917157"/>
    <w:rsid w:val="00917F97"/>
    <w:rsid w:val="00924AA2"/>
    <w:rsid w:val="009258C6"/>
    <w:rsid w:val="00925985"/>
    <w:rsid w:val="00930A02"/>
    <w:rsid w:val="00931FBC"/>
    <w:rsid w:val="00932C87"/>
    <w:rsid w:val="009401C7"/>
    <w:rsid w:val="00941DA2"/>
    <w:rsid w:val="00945C56"/>
    <w:rsid w:val="009462DD"/>
    <w:rsid w:val="009526A4"/>
    <w:rsid w:val="00952F8F"/>
    <w:rsid w:val="00953265"/>
    <w:rsid w:val="00953CA5"/>
    <w:rsid w:val="009546D0"/>
    <w:rsid w:val="009561A9"/>
    <w:rsid w:val="00956670"/>
    <w:rsid w:val="0096004A"/>
    <w:rsid w:val="00961770"/>
    <w:rsid w:val="00961D14"/>
    <w:rsid w:val="00962660"/>
    <w:rsid w:val="00963F04"/>
    <w:rsid w:val="00964B8E"/>
    <w:rsid w:val="00964EEB"/>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0F6"/>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49F8"/>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1AC7"/>
    <w:rsid w:val="00A91D17"/>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5A50"/>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737"/>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4970"/>
    <w:rsid w:val="00BC53DB"/>
    <w:rsid w:val="00BD38AF"/>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6475"/>
    <w:rsid w:val="00C47C47"/>
    <w:rsid w:val="00C521FE"/>
    <w:rsid w:val="00C540BB"/>
    <w:rsid w:val="00C54CCA"/>
    <w:rsid w:val="00C54F22"/>
    <w:rsid w:val="00C55D84"/>
    <w:rsid w:val="00C56393"/>
    <w:rsid w:val="00C56BFB"/>
    <w:rsid w:val="00C6045C"/>
    <w:rsid w:val="00C6171B"/>
    <w:rsid w:val="00C61909"/>
    <w:rsid w:val="00C62A27"/>
    <w:rsid w:val="00C64580"/>
    <w:rsid w:val="00C64624"/>
    <w:rsid w:val="00C65E08"/>
    <w:rsid w:val="00C67192"/>
    <w:rsid w:val="00C70F0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C7CB5"/>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6CC"/>
    <w:rsid w:val="00CF4A51"/>
    <w:rsid w:val="00D00E82"/>
    <w:rsid w:val="00D0233D"/>
    <w:rsid w:val="00D023EE"/>
    <w:rsid w:val="00D0240D"/>
    <w:rsid w:val="00D03F8C"/>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3CE4"/>
    <w:rsid w:val="00D350A6"/>
    <w:rsid w:val="00D3783E"/>
    <w:rsid w:val="00D37A3C"/>
    <w:rsid w:val="00D41CFB"/>
    <w:rsid w:val="00D43903"/>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5CB"/>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4D8"/>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77421"/>
    <w:rsid w:val="00E80FBE"/>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D72F3"/>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574DD"/>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873EA"/>
    <w:rsid w:val="00F9258D"/>
    <w:rsid w:val="00F925E2"/>
    <w:rsid w:val="00F93629"/>
    <w:rsid w:val="00F9525E"/>
    <w:rsid w:val="00F952C5"/>
    <w:rsid w:val="00F95643"/>
    <w:rsid w:val="00F96A43"/>
    <w:rsid w:val="00F96DD8"/>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48E"/>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6CDC6"/>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00F21"/>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4686169">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56207-FFC4-45A5-AB17-99CA0207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8</Pages>
  <Words>3405</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129</cp:revision>
  <cp:lastPrinted>2019-04-30T16:08:00Z</cp:lastPrinted>
  <dcterms:created xsi:type="dcterms:W3CDTF">2018-05-02T21:37:00Z</dcterms:created>
  <dcterms:modified xsi:type="dcterms:W3CDTF">2019-04-30T16:18:00Z</dcterms:modified>
</cp:coreProperties>
</file>