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B0E4B">
        <w:rPr>
          <w:rFonts w:ascii="Arial" w:hAnsi="Arial" w:cs="Arial"/>
          <w:b/>
          <w:bCs/>
          <w:iCs/>
          <w:sz w:val="26"/>
          <w:szCs w:val="22"/>
          <w:lang w:val="es-CR"/>
        </w:rPr>
        <w:t>421</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FB0E4B" w:rsidRPr="006F0920" w:rsidRDefault="00FB0E4B" w:rsidP="00FB0E4B">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Humberto Villalta Solano, Vicerrector de Administración</w:t>
            </w:r>
          </w:p>
          <w:p w:rsidR="00FB0E4B" w:rsidRPr="006F0920" w:rsidRDefault="00FB0E4B" w:rsidP="00FB0E4B">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Ing. Luis Paulino Méndez Badilla, Vicerrector de Docencia </w:t>
            </w:r>
          </w:p>
          <w:p w:rsidR="00FB0E4B" w:rsidRPr="006F0920" w:rsidRDefault="00FB0E4B" w:rsidP="00FB0E4B">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 Alexander Berrocal Jiménez, Vicerrector de Investigación y Extensión </w:t>
            </w:r>
          </w:p>
          <w:p w:rsidR="00FB0E4B" w:rsidRPr="006F0920" w:rsidRDefault="00FB0E4B" w:rsidP="00FB0E4B">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Dra. Claudia Madrizova </w:t>
            </w:r>
            <w:proofErr w:type="spellStart"/>
            <w:r w:rsidRPr="006F0920">
              <w:rPr>
                <w:rFonts w:ascii="Arial" w:eastAsia="Cambria" w:hAnsi="Arial" w:cs="Arial"/>
                <w:sz w:val="22"/>
                <w:szCs w:val="22"/>
                <w:lang w:val="es-ES_tradnl" w:eastAsia="en-US"/>
              </w:rPr>
              <w:t>Madrizova</w:t>
            </w:r>
            <w:proofErr w:type="spellEnd"/>
            <w:r w:rsidRPr="006F0920">
              <w:rPr>
                <w:rFonts w:ascii="Arial" w:eastAsia="Cambria" w:hAnsi="Arial" w:cs="Arial"/>
                <w:sz w:val="22"/>
                <w:szCs w:val="22"/>
                <w:lang w:val="es-ES_tradnl" w:eastAsia="en-US"/>
              </w:rPr>
              <w:t xml:space="preserve">, Vicerrectora de Vida Estudiantil y Servicios Académicos </w:t>
            </w:r>
          </w:p>
          <w:p w:rsidR="00FB0E4B" w:rsidRPr="006F0920" w:rsidRDefault="00FB0E4B" w:rsidP="00FB0E4B">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Oscar López Villegas, Director Campus Tecnológico Local San Carlos</w:t>
            </w:r>
          </w:p>
          <w:p w:rsidR="00FB0E4B" w:rsidRPr="006F0920" w:rsidRDefault="00FB0E4B" w:rsidP="00FB0E4B">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6F0920">
              <w:rPr>
                <w:rFonts w:ascii="Arial" w:eastAsia="Cambria" w:hAnsi="Arial" w:cs="Arial"/>
                <w:sz w:val="22"/>
                <w:szCs w:val="22"/>
                <w:lang w:val="es-ES_tradnl" w:eastAsia="en-US"/>
              </w:rPr>
              <w:t>de San José</w:t>
            </w:r>
          </w:p>
          <w:p w:rsidR="00FB0E4B" w:rsidRPr="006F0920" w:rsidRDefault="00FB0E4B" w:rsidP="00FB0E4B">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Dr. Roberto Pereira Arroyo, Director Centro Académico de Alajuela</w:t>
            </w:r>
          </w:p>
          <w:p w:rsidR="00FB0E4B" w:rsidRDefault="00FB0E4B" w:rsidP="00FB0E4B">
            <w:pPr>
              <w:ind w:left="45"/>
              <w:jc w:val="both"/>
              <w:rPr>
                <w:rFonts w:ascii="Arial" w:eastAsia="Cambria" w:hAnsi="Arial" w:cs="Arial"/>
                <w:sz w:val="22"/>
                <w:szCs w:val="22"/>
                <w:lang w:val="es-ES_tradnl" w:eastAsia="en-US"/>
              </w:rPr>
            </w:pPr>
            <w:r w:rsidRPr="006F0920">
              <w:rPr>
                <w:rFonts w:ascii="Arial" w:eastAsia="Cambria" w:hAnsi="Arial" w:cs="Arial"/>
                <w:sz w:val="22"/>
                <w:szCs w:val="22"/>
                <w:lang w:val="es-ES_tradnl" w:eastAsia="en-US"/>
              </w:rPr>
              <w:t>Máster Roxana Jiménez Rodríguez, Directora Centro Académico de Limón</w:t>
            </w:r>
          </w:p>
          <w:p w:rsidR="00FB0E4B" w:rsidRDefault="00FB0E4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FB0E4B" w:rsidRDefault="00FB0E4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TAE. Kattia Morales Mora, Secretaria General AFITEC</w:t>
            </w:r>
          </w:p>
          <w:p w:rsidR="00FB0E4B" w:rsidRDefault="00FB0E4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A96599" w:rsidRPr="00A96599" w:rsidRDefault="00A96599" w:rsidP="00A96599">
            <w:pPr>
              <w:jc w:val="both"/>
              <w:rPr>
                <w:rFonts w:ascii="Arial" w:eastAsia="Cambria" w:hAnsi="Arial" w:cs="Arial"/>
                <w:sz w:val="22"/>
                <w:szCs w:val="22"/>
                <w:lang w:val="es-ES_tradnl" w:eastAsia="en-US"/>
              </w:rPr>
            </w:pPr>
          </w:p>
          <w:p w:rsidR="009E28A0" w:rsidRPr="009E28A0" w:rsidRDefault="009E28A0" w:rsidP="00A03887">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F356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0857E5">
              <w:rPr>
                <w:rFonts w:ascii="Arial" w:eastAsia="Cambria" w:hAnsi="Arial" w:cs="Arial"/>
                <w:b/>
                <w:sz w:val="22"/>
                <w:szCs w:val="22"/>
                <w:lang w:val="es-ES_tradnl" w:eastAsia="en-US"/>
              </w:rPr>
              <w:t xml:space="preserve"> de </w:t>
            </w:r>
            <w:r>
              <w:rPr>
                <w:rFonts w:ascii="Arial" w:eastAsia="Cambria" w:hAnsi="Arial" w:cs="Arial"/>
                <w:b/>
                <w:sz w:val="22"/>
                <w:szCs w:val="22"/>
                <w:lang w:val="es-ES_tradnl" w:eastAsia="en-US"/>
              </w:rPr>
              <w:t>junio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6F356C">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6F356C">
              <w:rPr>
                <w:rFonts w:ascii="Arial" w:eastAsia="Calibri" w:hAnsi="Arial" w:cs="Arial"/>
                <w:b/>
                <w:sz w:val="22"/>
                <w:szCs w:val="22"/>
              </w:rPr>
              <w:t>20</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6F356C">
              <w:rPr>
                <w:rFonts w:ascii="Arial" w:eastAsia="Calibri" w:hAnsi="Arial" w:cs="Arial"/>
                <w:b/>
                <w:sz w:val="22"/>
                <w:szCs w:val="22"/>
              </w:rPr>
              <w:t>8</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6F356C">
              <w:rPr>
                <w:rFonts w:ascii="Arial" w:eastAsia="Calibri" w:hAnsi="Arial" w:cs="Arial"/>
                <w:b/>
                <w:sz w:val="22"/>
                <w:szCs w:val="22"/>
              </w:rPr>
              <w:t>05</w:t>
            </w:r>
            <w:r w:rsidR="000857E5" w:rsidRPr="00F2344D">
              <w:rPr>
                <w:rFonts w:ascii="Arial" w:eastAsia="Calibri" w:hAnsi="Arial" w:cs="Arial"/>
                <w:b/>
                <w:sz w:val="22"/>
                <w:szCs w:val="22"/>
              </w:rPr>
              <w:t xml:space="preserve"> de </w:t>
            </w:r>
            <w:r w:rsidR="006F356C">
              <w:rPr>
                <w:rFonts w:ascii="Arial" w:eastAsia="Calibri" w:hAnsi="Arial" w:cs="Arial"/>
                <w:b/>
                <w:sz w:val="22"/>
                <w:szCs w:val="22"/>
              </w:rPr>
              <w:t>juni</w:t>
            </w:r>
            <w:r w:rsidR="00CB5706">
              <w:rPr>
                <w:rFonts w:ascii="Arial" w:eastAsia="Calibri" w:hAnsi="Arial" w:cs="Arial"/>
                <w:b/>
                <w:sz w:val="22"/>
                <w:szCs w:val="22"/>
              </w:rPr>
              <w:t>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6F356C" w:rsidRPr="006F356C">
              <w:rPr>
                <w:rFonts w:ascii="Arial" w:eastAsia="Cambria" w:hAnsi="Arial" w:cs="Arial"/>
                <w:b/>
                <w:bCs/>
                <w:sz w:val="22"/>
                <w:szCs w:val="22"/>
                <w:lang w:val="es-CR" w:eastAsia="en-US"/>
              </w:rPr>
              <w:t>Consulta a la Comunidad Institucional y a la AFITEC “Reglamento para otorgar categorías honoríficas en el ITCR</w:t>
            </w:r>
            <w:r w:rsidR="008E426C">
              <w:rPr>
                <w:rFonts w:ascii="Arial" w:eastAsia="Cambria" w:hAnsi="Arial" w:cs="Arial"/>
                <w:b/>
                <w:bCs/>
                <w:sz w:val="22"/>
                <w:szCs w:val="22"/>
                <w:lang w:val="es-CR" w:eastAsia="en-US"/>
              </w:rPr>
              <w:t>”</w:t>
            </w:r>
            <w:bookmarkStart w:id="0" w:name="_GoBack"/>
            <w:bookmarkEnd w:id="0"/>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FB0E4B" w:rsidRDefault="00FB0E4B" w:rsidP="007742A1">
      <w:pPr>
        <w:jc w:val="both"/>
        <w:rPr>
          <w:rFonts w:ascii="Arial" w:eastAsia="Cambria" w:hAnsi="Arial" w:cs="Arial"/>
          <w:lang w:val="es-ES_tradnl" w:eastAsia="en-US"/>
        </w:rPr>
      </w:pPr>
    </w:p>
    <w:p w:rsidR="00FB0E4B" w:rsidRPr="00FB0E4B" w:rsidRDefault="00FB0E4B" w:rsidP="00FB0E4B">
      <w:pPr>
        <w:tabs>
          <w:tab w:val="left" w:pos="3070"/>
        </w:tabs>
        <w:contextualSpacing/>
        <w:jc w:val="both"/>
        <w:outlineLvl w:val="0"/>
        <w:rPr>
          <w:rFonts w:ascii="Arial" w:hAnsi="Arial" w:cs="Arial"/>
          <w:b/>
          <w:lang w:val="es-CR"/>
        </w:rPr>
      </w:pPr>
      <w:r w:rsidRPr="00FB0E4B">
        <w:rPr>
          <w:rFonts w:ascii="Arial" w:hAnsi="Arial" w:cs="Arial"/>
          <w:b/>
          <w:lang w:val="es-CR"/>
        </w:rPr>
        <w:t>RESULTANDO QUE:</w:t>
      </w:r>
    </w:p>
    <w:p w:rsidR="00FB0E4B" w:rsidRPr="00FB0E4B" w:rsidRDefault="00FB0E4B" w:rsidP="00FB0E4B">
      <w:pPr>
        <w:tabs>
          <w:tab w:val="left" w:pos="3070"/>
        </w:tabs>
        <w:contextualSpacing/>
        <w:jc w:val="both"/>
        <w:outlineLvl w:val="0"/>
        <w:rPr>
          <w:rFonts w:ascii="Arial" w:hAnsi="Arial" w:cs="Arial"/>
          <w:b/>
          <w:lang w:val="es-CR"/>
        </w:rPr>
      </w:pPr>
    </w:p>
    <w:p w:rsidR="00FB0E4B" w:rsidRPr="00FB0E4B" w:rsidRDefault="00FB0E4B" w:rsidP="00FB0E4B">
      <w:pPr>
        <w:numPr>
          <w:ilvl w:val="0"/>
          <w:numId w:val="26"/>
        </w:numPr>
        <w:ind w:left="426" w:hanging="426"/>
        <w:jc w:val="both"/>
        <w:rPr>
          <w:rFonts w:ascii="Arial" w:hAnsi="Arial" w:cs="Arial"/>
          <w:lang w:val="es-CR"/>
        </w:rPr>
      </w:pPr>
      <w:r w:rsidRPr="00FB0E4B">
        <w:rPr>
          <w:rFonts w:ascii="Arial" w:hAnsi="Arial" w:cs="Arial"/>
          <w:lang w:val="es-CR"/>
        </w:rPr>
        <w:t>El inciso f del Artículo 18, del Estatuto Orgánico del ITCR, establece:</w:t>
      </w:r>
    </w:p>
    <w:p w:rsidR="00FB0E4B" w:rsidRPr="00FB0E4B" w:rsidRDefault="00FB0E4B" w:rsidP="00FB0E4B">
      <w:pPr>
        <w:ind w:left="284" w:right="-1"/>
        <w:contextualSpacing/>
        <w:jc w:val="both"/>
        <w:rPr>
          <w:rFonts w:ascii="Arial" w:eastAsia="Calibri" w:hAnsi="Arial" w:cs="Arial"/>
          <w:bCs/>
          <w:sz w:val="20"/>
          <w:szCs w:val="20"/>
          <w:lang w:val="es-CR"/>
        </w:rPr>
      </w:pPr>
    </w:p>
    <w:p w:rsidR="00FB0E4B" w:rsidRPr="00FB0E4B" w:rsidRDefault="00FB0E4B" w:rsidP="00FB0E4B">
      <w:pPr>
        <w:ind w:left="709" w:right="284"/>
        <w:contextualSpacing/>
        <w:jc w:val="both"/>
        <w:rPr>
          <w:rFonts w:ascii="Arial" w:eastAsia="Calibri" w:hAnsi="Arial" w:cs="Arial"/>
          <w:bCs/>
          <w:i/>
          <w:sz w:val="22"/>
          <w:szCs w:val="22"/>
          <w:lang w:val="es-CR"/>
        </w:rPr>
      </w:pPr>
      <w:r w:rsidRPr="00FB0E4B">
        <w:rPr>
          <w:rFonts w:ascii="Arial" w:eastAsia="Calibri" w:hAnsi="Arial" w:cs="Arial"/>
          <w:bCs/>
          <w:i/>
          <w:sz w:val="22"/>
          <w:szCs w:val="22"/>
          <w:lang w:val="es-CR"/>
        </w:rPr>
        <w:t>“Son funciones del Consejo Institucional:</w:t>
      </w:r>
    </w:p>
    <w:p w:rsidR="00FB0E4B" w:rsidRPr="00FB0E4B" w:rsidRDefault="00FB0E4B" w:rsidP="00FB0E4B">
      <w:pPr>
        <w:ind w:left="709" w:right="284"/>
        <w:jc w:val="both"/>
        <w:rPr>
          <w:rFonts w:ascii="Arial" w:hAnsi="Arial" w:cs="Arial"/>
          <w:bCs/>
          <w:i/>
          <w:sz w:val="22"/>
          <w:szCs w:val="22"/>
          <w:lang w:val="es-CR"/>
        </w:rPr>
      </w:pPr>
    </w:p>
    <w:p w:rsidR="00FB0E4B" w:rsidRPr="00FB0E4B" w:rsidRDefault="00FB0E4B" w:rsidP="00BE3069">
      <w:pPr>
        <w:ind w:left="993" w:right="284" w:hanging="284"/>
        <w:jc w:val="both"/>
        <w:rPr>
          <w:rFonts w:ascii="Arial" w:hAnsi="Arial" w:cs="Arial"/>
          <w:i/>
          <w:sz w:val="22"/>
          <w:szCs w:val="22"/>
          <w:lang w:val="es-CR"/>
        </w:rPr>
      </w:pPr>
      <w:r w:rsidRPr="00FB0E4B">
        <w:rPr>
          <w:rFonts w:ascii="Arial" w:hAnsi="Arial" w:cs="Arial"/>
          <w:bCs/>
          <w:i/>
          <w:sz w:val="22"/>
          <w:szCs w:val="22"/>
          <w:lang w:val="es-CR"/>
        </w:rPr>
        <w:t xml:space="preserve">f. </w:t>
      </w:r>
      <w:r w:rsidRPr="00FB0E4B">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FB0E4B" w:rsidRPr="00FB0E4B" w:rsidRDefault="00FB0E4B" w:rsidP="00FB0E4B">
      <w:pPr>
        <w:overflowPunct w:val="0"/>
        <w:autoSpaceDE w:val="0"/>
        <w:autoSpaceDN w:val="0"/>
        <w:adjustRightInd w:val="0"/>
        <w:ind w:left="993" w:right="618" w:hanging="426"/>
        <w:jc w:val="both"/>
        <w:textAlignment w:val="baseline"/>
        <w:rPr>
          <w:rFonts w:cs="Arial"/>
          <w:i/>
          <w:sz w:val="20"/>
          <w:szCs w:val="20"/>
          <w:lang w:val="es-CR"/>
        </w:rPr>
      </w:pPr>
    </w:p>
    <w:p w:rsidR="00FB0E4B" w:rsidRPr="00FB0E4B" w:rsidRDefault="00FB0E4B" w:rsidP="00FB0E4B">
      <w:pPr>
        <w:numPr>
          <w:ilvl w:val="0"/>
          <w:numId w:val="26"/>
        </w:numPr>
        <w:ind w:left="426" w:hanging="426"/>
        <w:jc w:val="both"/>
        <w:rPr>
          <w:rFonts w:ascii="Arial" w:hAnsi="Arial" w:cs="Arial"/>
          <w:lang w:val="es-CR"/>
        </w:rPr>
      </w:pPr>
      <w:r w:rsidRPr="00FB0E4B">
        <w:rPr>
          <w:rFonts w:ascii="Arial" w:hAnsi="Arial" w:cs="Arial"/>
          <w:lang w:val="es-CR"/>
        </w:rPr>
        <w:t xml:space="preserve">El artículo 3 de la Segunda Convención Colectiva de Trabajo y sus Reformas, establece: </w:t>
      </w:r>
    </w:p>
    <w:p w:rsidR="00FB0E4B" w:rsidRPr="00FB0E4B" w:rsidRDefault="00FB0E4B" w:rsidP="00FB0E4B">
      <w:pPr>
        <w:spacing w:before="120"/>
        <w:ind w:left="708"/>
        <w:jc w:val="both"/>
        <w:rPr>
          <w:rFonts w:ascii="Arial" w:hAnsi="Arial" w:cs="Arial"/>
          <w:sz w:val="22"/>
          <w:szCs w:val="20"/>
          <w:lang w:val="es-CR"/>
        </w:rPr>
      </w:pPr>
      <w:r w:rsidRPr="00FB0E4B">
        <w:rPr>
          <w:rFonts w:ascii="Arial" w:hAnsi="Arial" w:cs="Arial"/>
          <w:sz w:val="22"/>
          <w:szCs w:val="20"/>
          <w:lang w:val="es-CR"/>
        </w:rPr>
        <w:t>“…</w:t>
      </w:r>
    </w:p>
    <w:p w:rsidR="00FB0E4B" w:rsidRPr="00FB0E4B" w:rsidRDefault="00FB0E4B" w:rsidP="00FB0E4B">
      <w:pPr>
        <w:spacing w:before="120"/>
        <w:ind w:left="708" w:right="333"/>
        <w:jc w:val="both"/>
        <w:rPr>
          <w:rFonts w:ascii="Arial" w:hAnsi="Arial" w:cs="Arial"/>
          <w:i/>
          <w:sz w:val="22"/>
          <w:szCs w:val="20"/>
          <w:lang w:val="es-CR"/>
        </w:rPr>
      </w:pPr>
      <w:r w:rsidRPr="00FB0E4B">
        <w:rPr>
          <w:rFonts w:ascii="Arial" w:hAnsi="Arial" w:cs="Arial"/>
          <w:i/>
          <w:sz w:val="22"/>
          <w:szCs w:val="20"/>
          <w:lang w:val="es-CR"/>
        </w:rPr>
        <w:t xml:space="preserve">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w:t>
      </w:r>
      <w:r w:rsidRPr="00FB0E4B">
        <w:rPr>
          <w:rFonts w:ascii="Arial" w:hAnsi="Arial" w:cs="Arial"/>
          <w:i/>
          <w:sz w:val="22"/>
          <w:szCs w:val="20"/>
          <w:lang w:val="es-CR"/>
        </w:rPr>
        <w:lastRenderedPageBreak/>
        <w:t>emergencia, en cuyo caso se conferirá la audiencia por un plazo no inferior a un día hábil; en tal caso los motivos indicados deberán ser consignados en la respectiva resolución.”</w:t>
      </w:r>
    </w:p>
    <w:p w:rsidR="00FB0E4B" w:rsidRPr="00FB0E4B" w:rsidRDefault="00FB0E4B" w:rsidP="00FB0E4B">
      <w:pPr>
        <w:tabs>
          <w:tab w:val="left" w:pos="3070"/>
        </w:tabs>
        <w:contextualSpacing/>
        <w:jc w:val="both"/>
        <w:outlineLvl w:val="0"/>
        <w:rPr>
          <w:rFonts w:ascii="Arial" w:hAnsi="Arial" w:cs="Arial"/>
          <w:b/>
          <w:lang w:val="es-CR"/>
        </w:rPr>
      </w:pPr>
    </w:p>
    <w:p w:rsidR="00FB0E4B" w:rsidRDefault="00FB0E4B" w:rsidP="00FB0E4B">
      <w:pPr>
        <w:numPr>
          <w:ilvl w:val="0"/>
          <w:numId w:val="26"/>
        </w:numPr>
        <w:ind w:left="426" w:hanging="426"/>
        <w:jc w:val="both"/>
        <w:rPr>
          <w:rFonts w:ascii="Arial" w:hAnsi="Arial" w:cs="Arial"/>
          <w:lang w:val="es-CR"/>
        </w:rPr>
      </w:pPr>
      <w:r w:rsidRPr="00FB0E4B">
        <w:rPr>
          <w:rFonts w:ascii="Arial" w:hAnsi="Arial" w:cs="Arial"/>
          <w:lang w:val="es-CR"/>
        </w:rPr>
        <w:t>La Secretaría del Consejo Institucional, recibe el oficio VIE-131-18, con fecha de recibido 22 de febrero de 2018, suscrito por la Dr.</w:t>
      </w:r>
      <w:r w:rsidRPr="00FB0E4B">
        <w:rPr>
          <w:rFonts w:ascii="Arial" w:hAnsi="Arial" w:cs="Arial"/>
          <w:lang w:val="es-CR"/>
        </w:rPr>
        <w:noBreakHyphen/>
        <w:t>Ing. Paola Vega Castillo, Vicerrectora de Investigación y Extensión, dirigido al Dr. Julio Calvo, Presidente del Consejo Institucional, en el cual remite la propuesta de modificación en la “Normativa para otorgar Categorías Honorificas”, para el dictamen correspondiente, que dice:</w:t>
      </w:r>
    </w:p>
    <w:p w:rsidR="00FB0E4B" w:rsidRPr="00FB0E4B" w:rsidRDefault="00FB0E4B" w:rsidP="00FB0E4B">
      <w:pPr>
        <w:ind w:left="426"/>
        <w:jc w:val="both"/>
        <w:rPr>
          <w:rFonts w:ascii="Arial" w:hAnsi="Arial" w:cs="Arial"/>
          <w:lang w:val="es-CR"/>
        </w:rPr>
      </w:pPr>
    </w:p>
    <w:p w:rsidR="00FB0E4B" w:rsidRPr="00FB0E4B" w:rsidRDefault="00FB0E4B" w:rsidP="00FB0E4B">
      <w:pPr>
        <w:ind w:left="708" w:right="333"/>
        <w:jc w:val="both"/>
        <w:rPr>
          <w:rFonts w:ascii="Arial" w:eastAsia="Cambria" w:hAnsi="Arial" w:cs="Arial"/>
          <w:b/>
          <w:bCs/>
          <w:i/>
          <w:sz w:val="22"/>
          <w:szCs w:val="22"/>
          <w:lang w:val="es-CR" w:eastAsia="en-US"/>
        </w:rPr>
      </w:pPr>
      <w:r>
        <w:rPr>
          <w:rFonts w:ascii="Arial" w:hAnsi="Arial" w:cs="Arial"/>
          <w:b/>
          <w:i/>
          <w:sz w:val="22"/>
          <w:szCs w:val="20"/>
          <w:lang w:val="es-CR"/>
        </w:rPr>
        <w:t>“</w:t>
      </w:r>
      <w:r w:rsidRPr="00FB0E4B">
        <w:rPr>
          <w:rFonts w:ascii="Arial" w:hAnsi="Arial" w:cs="Arial"/>
          <w:b/>
          <w:i/>
          <w:sz w:val="22"/>
          <w:szCs w:val="20"/>
          <w:lang w:val="es-CR"/>
        </w:rPr>
        <w:t>CONSIDERANDO QUE:</w:t>
      </w:r>
      <w:r w:rsidRPr="00FB0E4B">
        <w:rPr>
          <w:rFonts w:ascii="Arial" w:eastAsia="Cambria" w:hAnsi="Arial" w:cs="Arial"/>
          <w:b/>
          <w:bCs/>
          <w:i/>
          <w:sz w:val="22"/>
          <w:szCs w:val="22"/>
          <w:lang w:val="es-CR" w:eastAsia="en-US"/>
        </w:rPr>
        <w:tab/>
      </w:r>
    </w:p>
    <w:p w:rsidR="00FB0E4B" w:rsidRPr="00FB0E4B" w:rsidRDefault="00FB0E4B" w:rsidP="00FB0E4B">
      <w:pPr>
        <w:jc w:val="both"/>
        <w:rPr>
          <w:rFonts w:ascii="Arial" w:eastAsia="Cambria" w:hAnsi="Arial" w:cs="Arial"/>
          <w:bCs/>
          <w:i/>
          <w:sz w:val="22"/>
          <w:szCs w:val="22"/>
          <w:lang w:val="es-CR" w:eastAsia="en-US"/>
        </w:rPr>
      </w:pPr>
    </w:p>
    <w:p w:rsidR="00FB0E4B" w:rsidRPr="00FB0E4B" w:rsidRDefault="00FB0E4B" w:rsidP="00FB0E4B">
      <w:pPr>
        <w:numPr>
          <w:ilvl w:val="0"/>
          <w:numId w:val="29"/>
        </w:numPr>
        <w:ind w:right="333"/>
        <w:jc w:val="both"/>
        <w:rPr>
          <w:rFonts w:ascii="Arial" w:hAnsi="Arial" w:cs="Arial"/>
          <w:i/>
          <w:sz w:val="22"/>
          <w:szCs w:val="20"/>
          <w:lang w:val="es-CR"/>
        </w:rPr>
      </w:pPr>
      <w:r w:rsidRPr="00FB0E4B">
        <w:rPr>
          <w:rFonts w:ascii="Arial" w:eastAsia="Cambria" w:hAnsi="Arial" w:cs="Arial"/>
          <w:bCs/>
          <w:i/>
          <w:sz w:val="22"/>
          <w:szCs w:val="22"/>
          <w:lang w:val="es-MX" w:eastAsia="en-US"/>
        </w:rPr>
        <w:t xml:space="preserve">Existe la necesidad de contar con un mayor número de profesores con grado de doctor, con el fin de lograr una masa crítica mayor de doctores para reforzar la investigación en el ITCR </w:t>
      </w:r>
      <w:r w:rsidRPr="00FB0E4B">
        <w:rPr>
          <w:rFonts w:ascii="Arial" w:hAnsi="Arial" w:cs="Arial"/>
          <w:i/>
          <w:sz w:val="22"/>
          <w:szCs w:val="20"/>
          <w:lang w:val="es-CR"/>
        </w:rPr>
        <w:t>y mejorar sus indicadores, según estándares nacionales e internacionales, así como la competitividad para la atracción de fondos internacionales. Esto se requiere también para reforzar el Proyecto de Fortalecimiento de la Producción y Visibilidad Académica del Plan Estratégico 2017-2021.</w:t>
      </w:r>
    </w:p>
    <w:p w:rsidR="00FB0E4B" w:rsidRPr="00FB0E4B" w:rsidRDefault="00FB0E4B" w:rsidP="00FB0E4B">
      <w:pPr>
        <w:numPr>
          <w:ilvl w:val="0"/>
          <w:numId w:val="29"/>
        </w:numPr>
        <w:spacing w:before="120"/>
        <w:ind w:right="333"/>
        <w:jc w:val="both"/>
        <w:rPr>
          <w:rFonts w:ascii="Arial" w:hAnsi="Arial" w:cs="Arial"/>
          <w:i/>
          <w:sz w:val="22"/>
          <w:szCs w:val="20"/>
          <w:lang w:val="es-CR"/>
        </w:rPr>
      </w:pPr>
      <w:r w:rsidRPr="00FB0E4B">
        <w:rPr>
          <w:rFonts w:ascii="Arial" w:hAnsi="Arial" w:cs="Arial"/>
          <w:i/>
          <w:sz w:val="22"/>
          <w:szCs w:val="20"/>
          <w:lang w:val="es-CR"/>
        </w:rPr>
        <w:t xml:space="preserve">El contar con un mayor número de doctores permitiría reforzar los programas de doctorado y con ello la investigación, así como propagar este efecto en la docencia e investigación a los programas de maestría, licenciatura y bachillerato. </w:t>
      </w:r>
    </w:p>
    <w:p w:rsidR="00FB0E4B" w:rsidRPr="00FB0E4B" w:rsidRDefault="00FB0E4B" w:rsidP="00FB0E4B">
      <w:pPr>
        <w:numPr>
          <w:ilvl w:val="0"/>
          <w:numId w:val="29"/>
        </w:numPr>
        <w:spacing w:before="120"/>
        <w:ind w:right="333"/>
        <w:jc w:val="both"/>
        <w:rPr>
          <w:rFonts w:ascii="Arial" w:hAnsi="Arial" w:cs="Arial"/>
          <w:i/>
          <w:sz w:val="22"/>
          <w:szCs w:val="20"/>
          <w:lang w:val="es-CR"/>
        </w:rPr>
      </w:pPr>
      <w:r w:rsidRPr="00FB0E4B">
        <w:rPr>
          <w:rFonts w:ascii="Arial" w:hAnsi="Arial" w:cs="Arial"/>
          <w:i/>
          <w:sz w:val="22"/>
          <w:szCs w:val="20"/>
          <w:lang w:val="es-CR"/>
        </w:rPr>
        <w:t>Las maestrías requieren ampliar su planilla de profesores de planta, de manera que estos estén totalmente inmersos en el ITCR llevando a cabo procesos de investigación que potencien las publicaciones del ITCR por medio de la producción científica de los estudiantes de maestría.  El impacto de los doctores en los programas de doctorado y maestría se requiere para reforzar el Proyecto de Aumento de la Planilla de Posgrados Plan Estratégico 2017-2021.</w:t>
      </w:r>
    </w:p>
    <w:p w:rsidR="00FB0E4B" w:rsidRPr="00FB0E4B" w:rsidRDefault="00FB0E4B" w:rsidP="00FB0E4B">
      <w:pPr>
        <w:numPr>
          <w:ilvl w:val="0"/>
          <w:numId w:val="29"/>
        </w:numPr>
        <w:spacing w:before="120"/>
        <w:ind w:right="333"/>
        <w:jc w:val="both"/>
        <w:rPr>
          <w:rFonts w:ascii="Arial" w:hAnsi="Arial" w:cs="Arial"/>
          <w:i/>
          <w:sz w:val="22"/>
          <w:szCs w:val="20"/>
          <w:lang w:val="es-CR"/>
        </w:rPr>
      </w:pPr>
      <w:r w:rsidRPr="00FB0E4B">
        <w:rPr>
          <w:rFonts w:ascii="Arial" w:hAnsi="Arial" w:cs="Arial"/>
          <w:i/>
          <w:sz w:val="22"/>
          <w:szCs w:val="20"/>
          <w:lang w:val="es-CR"/>
        </w:rPr>
        <w:t>Los centros de investigación, programas de investigación, escuelas y áreas académicas requieren mecanismos rápidos de incorporación de doctores para la transferencia de conocimiento y el fortalecimiento de la investigación.  Asimismo, facilitaría la traída de expertos por períodos más prolongados que las visitas habituales, de manera que se logre mayor provecho del trabajo conjunto.  Esto permitiría además reforzar el Programa de Fortalecimiento de la Internacionalización del Plan Estratégico 2017-2021.</w:t>
      </w:r>
    </w:p>
    <w:p w:rsidR="00FB0E4B" w:rsidRPr="00FB0E4B" w:rsidRDefault="00FB0E4B" w:rsidP="00FB0E4B">
      <w:pPr>
        <w:numPr>
          <w:ilvl w:val="0"/>
          <w:numId w:val="29"/>
        </w:numPr>
        <w:spacing w:before="120"/>
        <w:ind w:right="333"/>
        <w:jc w:val="both"/>
        <w:rPr>
          <w:rFonts w:ascii="Arial" w:hAnsi="Arial" w:cs="Arial"/>
          <w:i/>
          <w:sz w:val="22"/>
          <w:szCs w:val="20"/>
          <w:lang w:val="es-CR"/>
        </w:rPr>
      </w:pPr>
      <w:r w:rsidRPr="00FB0E4B">
        <w:rPr>
          <w:rFonts w:ascii="Arial" w:hAnsi="Arial" w:cs="Arial"/>
          <w:i/>
          <w:sz w:val="22"/>
          <w:szCs w:val="20"/>
          <w:lang w:val="es-CR"/>
        </w:rPr>
        <w:t>Se requiere acelerar la incorporación de doctores al profesorado del ITCR, por lo cual las medidas actuales de apoyo a becarios necesitan complementarse con mecanismos de atracción y repatriación de doctores, siendo estos mecanismos más efectivos en tiempo e inversión requerida.</w:t>
      </w:r>
    </w:p>
    <w:p w:rsidR="00FB0E4B" w:rsidRPr="00FB0E4B" w:rsidRDefault="00FB0E4B" w:rsidP="00FB0E4B">
      <w:pPr>
        <w:numPr>
          <w:ilvl w:val="0"/>
          <w:numId w:val="29"/>
        </w:numPr>
        <w:spacing w:before="120"/>
        <w:ind w:right="333"/>
        <w:jc w:val="both"/>
        <w:rPr>
          <w:rFonts w:ascii="Arial" w:hAnsi="Arial" w:cs="Arial"/>
          <w:i/>
          <w:sz w:val="22"/>
          <w:szCs w:val="20"/>
          <w:lang w:val="es-CR"/>
        </w:rPr>
      </w:pPr>
      <w:r w:rsidRPr="00FB0E4B">
        <w:rPr>
          <w:rFonts w:ascii="Arial" w:hAnsi="Arial" w:cs="Arial"/>
          <w:i/>
          <w:sz w:val="22"/>
          <w:szCs w:val="20"/>
          <w:lang w:val="es-CR"/>
        </w:rPr>
        <w:t xml:space="preserve">La normativa actual referente a Categorías Honoríficas, con las modificaciones adecuadas, puede ser un instrumento útil para traer expertos, reincorporar becarios e incorporar de una forma ágil a profesores con grado de doctor mientras se logran las plazas necesarias para su nombramiento permanente en las escuelas. </w:t>
      </w:r>
    </w:p>
    <w:p w:rsidR="00FB0E4B" w:rsidRPr="00FB0E4B" w:rsidRDefault="00FB0E4B" w:rsidP="00FB0E4B">
      <w:pPr>
        <w:numPr>
          <w:ilvl w:val="0"/>
          <w:numId w:val="29"/>
        </w:numPr>
        <w:spacing w:before="120"/>
        <w:ind w:right="333"/>
        <w:jc w:val="both"/>
        <w:rPr>
          <w:rFonts w:ascii="Arial" w:hAnsi="Arial" w:cs="Arial"/>
          <w:i/>
          <w:sz w:val="22"/>
          <w:szCs w:val="20"/>
          <w:lang w:val="es-CR"/>
        </w:rPr>
      </w:pPr>
      <w:r w:rsidRPr="00FB0E4B">
        <w:rPr>
          <w:rFonts w:ascii="Arial" w:hAnsi="Arial" w:cs="Arial"/>
          <w:i/>
          <w:sz w:val="22"/>
          <w:szCs w:val="20"/>
          <w:lang w:val="es-CR"/>
        </w:rPr>
        <w:t>La normativa actual referente a Categorías Honoríficas no resulta atractiva para la atracción de doctores debido a que para la determinación de la remuneración de los profesores invitados no se considera en todos sus alcances su trayectoria como expertos.</w:t>
      </w:r>
    </w:p>
    <w:p w:rsidR="00FB0E4B" w:rsidRPr="00FB0E4B" w:rsidRDefault="00FB0E4B" w:rsidP="00FB0E4B">
      <w:pPr>
        <w:ind w:left="708" w:right="333"/>
        <w:jc w:val="both"/>
        <w:rPr>
          <w:rFonts w:ascii="Arial" w:eastAsia="Cambria" w:hAnsi="Arial" w:cs="Arial"/>
          <w:b/>
          <w:i/>
          <w:sz w:val="22"/>
          <w:szCs w:val="22"/>
          <w:lang w:val="es-CR" w:eastAsia="en-US"/>
        </w:rPr>
      </w:pPr>
      <w:r w:rsidRPr="00FB0E4B">
        <w:rPr>
          <w:rFonts w:ascii="Arial" w:eastAsia="Cambria" w:hAnsi="Arial" w:cs="Arial"/>
          <w:b/>
          <w:i/>
          <w:sz w:val="22"/>
          <w:szCs w:val="22"/>
          <w:lang w:val="es-CR" w:eastAsia="en-US"/>
        </w:rPr>
        <w:t>SE ACUERDA:</w:t>
      </w:r>
    </w:p>
    <w:p w:rsidR="00FB0E4B" w:rsidRPr="00FB0E4B" w:rsidRDefault="00FB0E4B" w:rsidP="00FB0E4B">
      <w:pPr>
        <w:jc w:val="both"/>
        <w:rPr>
          <w:rFonts w:ascii="Arial" w:eastAsia="Cambria" w:hAnsi="Arial" w:cs="Arial"/>
          <w:i/>
          <w:sz w:val="22"/>
          <w:lang w:val="es-CR" w:eastAsia="en-US"/>
        </w:rPr>
      </w:pPr>
    </w:p>
    <w:p w:rsidR="00FB0E4B" w:rsidRDefault="00FB0E4B" w:rsidP="00FB0E4B">
      <w:pPr>
        <w:numPr>
          <w:ilvl w:val="0"/>
          <w:numId w:val="30"/>
        </w:numPr>
        <w:ind w:right="333"/>
        <w:jc w:val="both"/>
        <w:rPr>
          <w:rFonts w:ascii="Arial" w:eastAsia="Cambria" w:hAnsi="Arial" w:cs="Arial"/>
          <w:bCs/>
          <w:i/>
          <w:sz w:val="22"/>
          <w:szCs w:val="22"/>
          <w:lang w:val="es-CR" w:eastAsia="en-US"/>
        </w:rPr>
      </w:pPr>
      <w:r w:rsidRPr="00FB0E4B">
        <w:rPr>
          <w:rFonts w:ascii="Arial" w:eastAsia="Cambria" w:hAnsi="Arial" w:cs="Arial"/>
          <w:bCs/>
          <w:i/>
          <w:sz w:val="22"/>
          <w:szCs w:val="22"/>
          <w:lang w:val="es-CR" w:eastAsia="en-US"/>
        </w:rPr>
        <w:t xml:space="preserve">Avalar la propuesta de modificación a la </w:t>
      </w:r>
      <w:r w:rsidRPr="00FB0E4B">
        <w:rPr>
          <w:rFonts w:ascii="Arial" w:eastAsia="Cambria" w:hAnsi="Arial" w:cs="Arial"/>
          <w:i/>
          <w:sz w:val="22"/>
          <w:lang w:eastAsia="en-US"/>
        </w:rPr>
        <w:t>“Normativa para otorgar Categorías Honorificas” (documento adjunto)</w:t>
      </w:r>
      <w:r w:rsidRPr="00FB0E4B">
        <w:rPr>
          <w:rFonts w:ascii="Arial" w:eastAsia="Cambria" w:hAnsi="Arial" w:cs="Arial"/>
          <w:bCs/>
          <w:i/>
          <w:sz w:val="22"/>
          <w:szCs w:val="22"/>
          <w:lang w:val="es-CR" w:eastAsia="en-US"/>
        </w:rPr>
        <w:t>.</w:t>
      </w:r>
    </w:p>
    <w:p w:rsidR="00FB0E4B" w:rsidRPr="00FB0E4B" w:rsidRDefault="00FB0E4B" w:rsidP="00FB0E4B">
      <w:pPr>
        <w:ind w:left="1788" w:right="333"/>
        <w:jc w:val="both"/>
        <w:rPr>
          <w:rFonts w:ascii="Arial" w:eastAsia="Cambria" w:hAnsi="Arial" w:cs="Arial"/>
          <w:bCs/>
          <w:i/>
          <w:sz w:val="22"/>
          <w:szCs w:val="22"/>
          <w:lang w:val="es-CR" w:eastAsia="en-US"/>
        </w:rPr>
      </w:pPr>
    </w:p>
    <w:p w:rsidR="00FB0E4B" w:rsidRPr="00FB0E4B" w:rsidRDefault="00FB0E4B" w:rsidP="00FB0E4B">
      <w:pPr>
        <w:numPr>
          <w:ilvl w:val="0"/>
          <w:numId w:val="30"/>
        </w:numPr>
        <w:ind w:right="333"/>
        <w:jc w:val="both"/>
        <w:rPr>
          <w:rFonts w:ascii="Arial" w:eastAsia="Cambria" w:hAnsi="Arial" w:cs="Arial"/>
          <w:bCs/>
          <w:i/>
          <w:sz w:val="22"/>
          <w:szCs w:val="22"/>
          <w:lang w:val="es-CR" w:eastAsia="en-US"/>
        </w:rPr>
      </w:pPr>
      <w:r w:rsidRPr="00FB0E4B">
        <w:rPr>
          <w:rFonts w:ascii="Arial" w:eastAsia="Cambria" w:hAnsi="Arial" w:cs="Arial"/>
          <w:bCs/>
          <w:i/>
          <w:sz w:val="22"/>
          <w:szCs w:val="22"/>
          <w:lang w:val="es-CR" w:eastAsia="en-US"/>
        </w:rPr>
        <w:t xml:space="preserve">Elevar al Consejo Institucional la propuesta de modificación a la </w:t>
      </w:r>
      <w:r w:rsidRPr="00FB0E4B">
        <w:rPr>
          <w:rFonts w:ascii="Arial" w:eastAsia="Cambria" w:hAnsi="Arial" w:cs="Arial"/>
          <w:bCs/>
          <w:i/>
          <w:sz w:val="22"/>
          <w:szCs w:val="22"/>
          <w:lang w:eastAsia="en-US"/>
        </w:rPr>
        <w:t xml:space="preserve">“Normativa para otorgar Categorías Honorificas” </w:t>
      </w:r>
      <w:r w:rsidRPr="00FB0E4B">
        <w:rPr>
          <w:rFonts w:ascii="Arial" w:eastAsia="Cambria" w:hAnsi="Arial" w:cs="Arial"/>
          <w:bCs/>
          <w:i/>
          <w:sz w:val="22"/>
          <w:szCs w:val="22"/>
          <w:lang w:val="es-CR" w:eastAsia="en-US"/>
        </w:rPr>
        <w:t>para los trámites correspondientes</w:t>
      </w:r>
      <w:r>
        <w:rPr>
          <w:rFonts w:ascii="Arial" w:eastAsia="Cambria" w:hAnsi="Arial" w:cs="Arial"/>
          <w:bCs/>
          <w:i/>
          <w:sz w:val="22"/>
          <w:szCs w:val="22"/>
          <w:lang w:val="es-CR" w:eastAsia="en-US"/>
        </w:rPr>
        <w:t>”</w:t>
      </w:r>
      <w:r w:rsidRPr="00FB0E4B">
        <w:rPr>
          <w:rFonts w:ascii="Arial" w:eastAsia="Cambria" w:hAnsi="Arial" w:cs="Arial"/>
          <w:bCs/>
          <w:i/>
          <w:sz w:val="22"/>
          <w:szCs w:val="22"/>
          <w:lang w:val="es-CR" w:eastAsia="en-US"/>
        </w:rPr>
        <w:t>.</w:t>
      </w:r>
    </w:p>
    <w:p w:rsidR="00FB0E4B" w:rsidRPr="00FB0E4B" w:rsidRDefault="00FB0E4B" w:rsidP="00FB0E4B">
      <w:pPr>
        <w:ind w:left="426"/>
        <w:jc w:val="both"/>
        <w:rPr>
          <w:rFonts w:ascii="Arial" w:hAnsi="Arial" w:cs="Arial"/>
          <w:b/>
          <w:lang w:val="es-CR"/>
        </w:rPr>
      </w:pPr>
    </w:p>
    <w:p w:rsidR="00FB0E4B" w:rsidRPr="00FB0E4B" w:rsidRDefault="00FB0E4B" w:rsidP="00FB0E4B">
      <w:pPr>
        <w:tabs>
          <w:tab w:val="left" w:pos="3070"/>
        </w:tabs>
        <w:contextualSpacing/>
        <w:jc w:val="both"/>
        <w:outlineLvl w:val="0"/>
        <w:rPr>
          <w:rFonts w:ascii="Arial" w:hAnsi="Arial" w:cs="Arial"/>
          <w:b/>
          <w:lang w:val="es-CR"/>
        </w:rPr>
      </w:pPr>
      <w:r w:rsidRPr="00FB0E4B">
        <w:rPr>
          <w:rFonts w:ascii="Arial" w:hAnsi="Arial" w:cs="Arial"/>
          <w:b/>
          <w:lang w:val="es-CR"/>
        </w:rPr>
        <w:t>CONSIDERANDO QUE:</w:t>
      </w:r>
    </w:p>
    <w:p w:rsidR="00FB0E4B" w:rsidRPr="00FB0E4B" w:rsidRDefault="00FB0E4B" w:rsidP="00FB0E4B">
      <w:pPr>
        <w:jc w:val="both"/>
        <w:rPr>
          <w:rFonts w:ascii="Arial" w:hAnsi="Arial" w:cs="Arial"/>
          <w:lang w:val="es-CR"/>
        </w:rPr>
      </w:pPr>
    </w:p>
    <w:p w:rsidR="00FB0E4B" w:rsidRPr="00FB0E4B" w:rsidRDefault="00FB0E4B" w:rsidP="00FB0E4B">
      <w:pPr>
        <w:numPr>
          <w:ilvl w:val="0"/>
          <w:numId w:val="28"/>
        </w:numPr>
        <w:ind w:left="426" w:hanging="426"/>
        <w:jc w:val="both"/>
        <w:rPr>
          <w:rFonts w:ascii="Arial" w:hAnsi="Arial" w:cs="Arial"/>
          <w:lang w:val="es-CR"/>
        </w:rPr>
      </w:pPr>
      <w:r w:rsidRPr="00FB0E4B">
        <w:rPr>
          <w:rFonts w:ascii="Arial" w:hAnsi="Arial" w:cs="Arial"/>
          <w:lang w:val="es-CR"/>
        </w:rPr>
        <w:t xml:space="preserve">La Comisión de Asuntos Académicos y Estudiantiles en las reuniones 580, 583, 584, 585, 586 y 595 del año 2018, realizó el análisis de la propuesta de modificación a la “Normativa para otorgar Categorías Honoríficas”. </w:t>
      </w:r>
    </w:p>
    <w:p w:rsidR="00FB0E4B" w:rsidRPr="00FB0E4B" w:rsidRDefault="00FB0E4B" w:rsidP="00FB0E4B">
      <w:pPr>
        <w:jc w:val="both"/>
        <w:rPr>
          <w:rFonts w:ascii="Arial" w:hAnsi="Arial" w:cs="Arial"/>
          <w:lang w:val="es-CR"/>
        </w:rPr>
      </w:pPr>
    </w:p>
    <w:p w:rsidR="00FB0E4B" w:rsidRPr="00FB0E4B" w:rsidRDefault="00FB0E4B" w:rsidP="00FB0E4B">
      <w:pPr>
        <w:numPr>
          <w:ilvl w:val="0"/>
          <w:numId w:val="28"/>
        </w:numPr>
        <w:ind w:left="426" w:hanging="426"/>
        <w:jc w:val="both"/>
        <w:rPr>
          <w:rFonts w:ascii="Arial" w:hAnsi="Arial" w:cs="Arial"/>
          <w:lang w:val="es-CR"/>
        </w:rPr>
      </w:pPr>
      <w:r w:rsidRPr="00FB0E4B">
        <w:rPr>
          <w:rFonts w:ascii="Arial" w:hAnsi="Arial" w:cs="Arial"/>
          <w:lang w:val="es-CR"/>
        </w:rPr>
        <w:t xml:space="preserve">Se remite el oficio SCI-558-2018, suscrito por la Ing. María Estrada Sánchez, </w:t>
      </w:r>
      <w:proofErr w:type="spellStart"/>
      <w:r w:rsidRPr="00FB0E4B">
        <w:rPr>
          <w:rFonts w:ascii="Arial" w:hAnsi="Arial" w:cs="Arial"/>
          <w:lang w:val="es-CR"/>
        </w:rPr>
        <w:t>M.Sc</w:t>
      </w:r>
      <w:proofErr w:type="spellEnd"/>
      <w:r w:rsidRPr="00FB0E4B">
        <w:rPr>
          <w:rFonts w:ascii="Arial" w:hAnsi="Arial" w:cs="Arial"/>
          <w:lang w:val="es-CR"/>
        </w:rPr>
        <w:t xml:space="preserve">. Coordinadora de la Comisión de Asuntos Académicos y Estudiantiles, dirigido a la MAU. Tatiana Fernández Martín, Directora de la Oficina de Planificación y Administración, en el cual remite la propuesta para su respectivo dictamen. </w:t>
      </w:r>
    </w:p>
    <w:p w:rsidR="00FB0E4B" w:rsidRPr="00FB0E4B" w:rsidRDefault="00FB0E4B" w:rsidP="00FB0E4B">
      <w:pPr>
        <w:ind w:left="708"/>
        <w:rPr>
          <w:rFonts w:ascii="Arial" w:hAnsi="Arial" w:cs="Arial"/>
          <w:lang w:val="es-CR"/>
        </w:rPr>
      </w:pPr>
    </w:p>
    <w:p w:rsidR="00FB0E4B" w:rsidRPr="00FB0E4B" w:rsidRDefault="00FB0E4B" w:rsidP="00FB0E4B">
      <w:pPr>
        <w:numPr>
          <w:ilvl w:val="0"/>
          <w:numId w:val="28"/>
        </w:numPr>
        <w:ind w:left="426" w:hanging="426"/>
        <w:jc w:val="both"/>
        <w:rPr>
          <w:rFonts w:ascii="Arial" w:hAnsi="Arial" w:cs="Arial"/>
          <w:lang w:val="es-CR"/>
        </w:rPr>
      </w:pPr>
      <w:r w:rsidRPr="00FB0E4B">
        <w:rPr>
          <w:rFonts w:ascii="Arial" w:hAnsi="Arial" w:cs="Arial"/>
          <w:lang w:val="es-CR"/>
        </w:rPr>
        <w:t>La Secretaría del Consejo Institucional, recibe el oficio VIE-1070-18, con fecha de recibido 23 de octubre de 2018, suscrito por el Dr. Alexander Berrocal Jiménez, Presidente del Consejo de Investigación y Extensión dirigido a la MBA. Andrea Contreras Alvarado, Oficina de Planificación Institucional, con copia a la Máster María Estrada Sánchez, Coordinadora Comisión de Asuntos Académicos y Estudiantiles, mediante el cual remite comunicado de Acuerdo del Consejo de Investigación y Extensión, con respecto a la Propuesta de modificación al orden de numeración de la “Normativa para otorgar Categorías Honoríficas”.</w:t>
      </w:r>
    </w:p>
    <w:p w:rsidR="00FB0E4B" w:rsidRPr="00FB0E4B" w:rsidRDefault="00FB0E4B" w:rsidP="00FB0E4B">
      <w:pPr>
        <w:ind w:left="708"/>
        <w:rPr>
          <w:rFonts w:ascii="Arial" w:hAnsi="Arial" w:cs="Arial"/>
          <w:lang w:val="es-CR"/>
        </w:rPr>
      </w:pPr>
    </w:p>
    <w:p w:rsidR="00FB0E4B" w:rsidRPr="00FB0E4B" w:rsidRDefault="00FB0E4B" w:rsidP="00FB0E4B">
      <w:pPr>
        <w:numPr>
          <w:ilvl w:val="0"/>
          <w:numId w:val="28"/>
        </w:numPr>
        <w:ind w:left="426" w:hanging="426"/>
        <w:jc w:val="both"/>
        <w:rPr>
          <w:rFonts w:ascii="Arial" w:hAnsi="Arial" w:cs="Arial"/>
          <w:lang w:val="es-CR"/>
        </w:rPr>
      </w:pPr>
      <w:r w:rsidRPr="00FB0E4B">
        <w:rPr>
          <w:rFonts w:ascii="Arial" w:hAnsi="Arial" w:cs="Arial"/>
          <w:lang w:val="es-CR"/>
        </w:rPr>
        <w:t xml:space="preserve">Mediante el oficio OPI-189-2019, </w:t>
      </w:r>
      <w:r w:rsidRPr="00FB0E4B">
        <w:rPr>
          <w:rFonts w:ascii="Arial" w:eastAsia="Cambria" w:hAnsi="Arial" w:cs="Arial"/>
          <w:lang w:val="es-ES_tradnl" w:eastAsia="en-US"/>
        </w:rPr>
        <w:t xml:space="preserve">con fecha de recibido 05 de abril de 2019, suscrito por la MAU. Tatiana Fernández Martín, Directora Oficina de Planificación Institucional, dirigido a la </w:t>
      </w:r>
      <w:proofErr w:type="spellStart"/>
      <w:r w:rsidRPr="00FB0E4B">
        <w:rPr>
          <w:rFonts w:ascii="Arial" w:eastAsia="Cambria" w:hAnsi="Arial" w:cs="Arial"/>
          <w:lang w:val="es-ES_tradnl" w:eastAsia="en-US"/>
        </w:rPr>
        <w:t>M.Sc</w:t>
      </w:r>
      <w:proofErr w:type="spellEnd"/>
      <w:r w:rsidRPr="00FB0E4B">
        <w:rPr>
          <w:rFonts w:ascii="Arial" w:eastAsia="Cambria" w:hAnsi="Arial" w:cs="Arial"/>
          <w:lang w:val="es-ES_tradnl" w:eastAsia="en-US"/>
        </w:rPr>
        <w:t xml:space="preserve">. María Estrada Sánchez, Coordinadora Comisión Asuntos Académicos y Estudiantiles, en el cual remite la propuesta del Reglamento para otorgar categoría honorífica en el ITCR. </w:t>
      </w:r>
    </w:p>
    <w:p w:rsidR="00FB0E4B" w:rsidRPr="00FB0E4B" w:rsidRDefault="00FB0E4B" w:rsidP="00FB0E4B">
      <w:pPr>
        <w:ind w:left="360"/>
        <w:jc w:val="both"/>
        <w:rPr>
          <w:rFonts w:ascii="Arial" w:hAnsi="Arial" w:cs="Arial"/>
          <w:lang w:val="es-CR"/>
        </w:rPr>
      </w:pPr>
    </w:p>
    <w:p w:rsidR="00FB0E4B" w:rsidRPr="00FB0E4B" w:rsidRDefault="00FB0E4B" w:rsidP="00FB0E4B">
      <w:pPr>
        <w:numPr>
          <w:ilvl w:val="0"/>
          <w:numId w:val="28"/>
        </w:numPr>
        <w:ind w:left="426" w:hanging="426"/>
        <w:jc w:val="both"/>
        <w:rPr>
          <w:rFonts w:ascii="Arial" w:hAnsi="Arial" w:cs="Arial"/>
          <w:lang w:val="es-CR"/>
        </w:rPr>
      </w:pPr>
      <w:r w:rsidRPr="00FB0E4B">
        <w:rPr>
          <w:rFonts w:ascii="Arial" w:hAnsi="Arial" w:cs="Arial"/>
          <w:lang w:val="es-CR"/>
        </w:rPr>
        <w:t xml:space="preserve">En la reunión No. 627, celebrada el 31 de mayo del presente año, </w:t>
      </w:r>
      <w:bookmarkStart w:id="1" w:name="_Toc272225920"/>
      <w:bookmarkStart w:id="2" w:name="_Toc272238511"/>
      <w:bookmarkStart w:id="3" w:name="_Toc274319984"/>
      <w:r w:rsidRPr="00FB0E4B">
        <w:rPr>
          <w:rFonts w:ascii="Arial" w:hAnsi="Arial" w:cs="Arial"/>
          <w:lang w:val="es-CR"/>
        </w:rPr>
        <w:t>revisó la propuesta del Reglamento, y dispuso elevarla al Pleno, para someterla a consulta a la AFITEC, en apego al Artículo 3. de la Segunda Convención Colectiva de Trabajo y sus Reformas, por diez días hábiles y a la Comunidad Institucional por 30 días hábiles.</w:t>
      </w:r>
    </w:p>
    <w:p w:rsidR="00FB0E4B" w:rsidRPr="00FB0E4B" w:rsidRDefault="00FB0E4B" w:rsidP="00FB0E4B">
      <w:pPr>
        <w:ind w:left="360"/>
        <w:jc w:val="both"/>
        <w:rPr>
          <w:rFonts w:ascii="Arial" w:hAnsi="Arial" w:cs="Arial"/>
          <w:lang w:val="es-CR"/>
        </w:rPr>
      </w:pPr>
    </w:p>
    <w:bookmarkEnd w:id="1"/>
    <w:bookmarkEnd w:id="2"/>
    <w:bookmarkEnd w:id="3"/>
    <w:p w:rsidR="00FB0E4B" w:rsidRPr="00FB0E4B" w:rsidRDefault="00FB0E4B" w:rsidP="00FB0E4B">
      <w:pPr>
        <w:jc w:val="both"/>
        <w:rPr>
          <w:rFonts w:ascii="Arial" w:hAnsi="Arial" w:cs="Arial"/>
          <w:b/>
          <w:lang w:val="es-CR"/>
        </w:rPr>
      </w:pPr>
      <w:r w:rsidRPr="00FB0E4B">
        <w:rPr>
          <w:rFonts w:ascii="Arial" w:hAnsi="Arial" w:cs="Arial"/>
          <w:b/>
          <w:lang w:val="es-CR"/>
        </w:rPr>
        <w:t>SE</w:t>
      </w:r>
      <w:r>
        <w:rPr>
          <w:rFonts w:ascii="Arial" w:hAnsi="Arial" w:cs="Arial"/>
          <w:b/>
          <w:lang w:val="es-CR"/>
        </w:rPr>
        <w:t xml:space="preserve"> ACUERDA</w:t>
      </w:r>
      <w:r w:rsidRPr="00FB0E4B">
        <w:rPr>
          <w:rFonts w:ascii="Arial" w:hAnsi="Arial" w:cs="Arial"/>
          <w:b/>
          <w:lang w:val="es-CR"/>
        </w:rPr>
        <w:t>:</w:t>
      </w:r>
    </w:p>
    <w:p w:rsidR="00FB0E4B" w:rsidRPr="00FB0E4B" w:rsidRDefault="00FB0E4B" w:rsidP="00FB0E4B">
      <w:pPr>
        <w:jc w:val="both"/>
        <w:rPr>
          <w:rFonts w:ascii="Arial" w:hAnsi="Arial" w:cs="Arial"/>
          <w:b/>
          <w:lang w:val="es-CR"/>
        </w:rPr>
      </w:pPr>
    </w:p>
    <w:p w:rsidR="00FB0E4B" w:rsidRPr="00FB0E4B" w:rsidRDefault="00FB0E4B" w:rsidP="00FB0E4B">
      <w:pPr>
        <w:numPr>
          <w:ilvl w:val="0"/>
          <w:numId w:val="27"/>
        </w:numPr>
        <w:ind w:left="426" w:hanging="426"/>
        <w:contextualSpacing/>
        <w:jc w:val="both"/>
        <w:rPr>
          <w:rFonts w:ascii="Arial" w:hAnsi="Arial" w:cs="Arial"/>
          <w:lang w:val="es-CR"/>
        </w:rPr>
      </w:pPr>
      <w:r w:rsidRPr="00FB0E4B">
        <w:rPr>
          <w:rFonts w:ascii="Arial" w:hAnsi="Arial" w:cs="Arial"/>
          <w:lang w:val="es-CR"/>
        </w:rPr>
        <w:t>Someter a consulta a la AFITEC,</w:t>
      </w:r>
      <w:r w:rsidRPr="00FB0E4B">
        <w:rPr>
          <w:sz w:val="20"/>
          <w:szCs w:val="20"/>
          <w:lang w:val="es-CR"/>
        </w:rPr>
        <w:t xml:space="preserve"> </w:t>
      </w:r>
      <w:r w:rsidRPr="00FB0E4B">
        <w:rPr>
          <w:rFonts w:ascii="Arial" w:hAnsi="Arial" w:cs="Arial"/>
          <w:lang w:val="es-CR"/>
        </w:rPr>
        <w:t>por un plazo de 10 días hábiles, y a la Comunidad Institucional por un plazo de 30 días hábiles, la propuesta “Reglamento para Otorgar Categorías Honoríficas y la de Profesor invitado en el Instituto Tecnológico de Costa Rica”, según se detalla:</w:t>
      </w:r>
    </w:p>
    <w:p w:rsidR="00FB0E4B" w:rsidRPr="00FB0E4B" w:rsidRDefault="00FB0E4B" w:rsidP="00FB0E4B">
      <w:pPr>
        <w:jc w:val="center"/>
        <w:rPr>
          <w:rFonts w:ascii="Arial" w:hAnsi="Arial" w:cs="Arial"/>
          <w:b/>
          <w:lang w:val="es-CR"/>
        </w:rPr>
      </w:pPr>
    </w:p>
    <w:p w:rsidR="00FB0E4B" w:rsidRPr="00FB0E4B" w:rsidRDefault="00FB0E4B" w:rsidP="00FB0E4B">
      <w:pPr>
        <w:ind w:left="851"/>
        <w:jc w:val="center"/>
        <w:rPr>
          <w:rFonts w:ascii="Arial" w:eastAsia="MS Mincho" w:hAnsi="Arial" w:cs="Arial"/>
          <w:b/>
          <w:caps/>
          <w:lang w:val="es-CR"/>
        </w:rPr>
      </w:pPr>
      <w:r w:rsidRPr="00FB0E4B">
        <w:rPr>
          <w:rFonts w:ascii="Arial" w:eastAsia="MS Mincho" w:hAnsi="Arial" w:cs="Arial"/>
          <w:b/>
          <w:caps/>
          <w:lang w:val="es-CR"/>
        </w:rPr>
        <w:t>REGLAMENTO para otorgar categorías honoríficas</w:t>
      </w:r>
      <w:r w:rsidRPr="00FB0E4B">
        <w:rPr>
          <w:sz w:val="20"/>
          <w:szCs w:val="20"/>
          <w:lang w:val="es-CR"/>
        </w:rPr>
        <w:t xml:space="preserve"> </w:t>
      </w:r>
      <w:r w:rsidRPr="00FB0E4B">
        <w:rPr>
          <w:rFonts w:ascii="Arial" w:eastAsia="MS Mincho" w:hAnsi="Arial" w:cs="Arial"/>
          <w:b/>
          <w:caps/>
          <w:lang w:val="es-CR"/>
        </w:rPr>
        <w:t>y la de Profesor invitado en el Instituto Tecnológico de Costa Rica</w:t>
      </w:r>
    </w:p>
    <w:p w:rsidR="00FB0E4B" w:rsidRPr="00FB0E4B" w:rsidRDefault="00FB0E4B" w:rsidP="00FB0E4B">
      <w:pPr>
        <w:rPr>
          <w:rFonts w:ascii="Arial" w:hAnsi="Arial" w:cs="Arial"/>
          <w:b/>
          <w:sz w:val="22"/>
          <w:szCs w:val="22"/>
          <w:lang w:val="es-CR"/>
        </w:rPr>
      </w:pPr>
    </w:p>
    <w:p w:rsidR="00FB0E4B" w:rsidRPr="00FB0E4B" w:rsidRDefault="00FB0E4B" w:rsidP="00FB0E4B">
      <w:pPr>
        <w:jc w:val="center"/>
        <w:rPr>
          <w:rFonts w:ascii="Arial" w:hAnsi="Arial" w:cs="Arial"/>
          <w:b/>
          <w:i/>
          <w:szCs w:val="20"/>
          <w:lang w:val="es-CR"/>
        </w:rPr>
      </w:pPr>
      <w:r w:rsidRPr="00FB0E4B">
        <w:rPr>
          <w:rFonts w:ascii="Arial" w:hAnsi="Arial" w:cs="Arial"/>
          <w:b/>
          <w:i/>
          <w:szCs w:val="20"/>
          <w:lang w:val="es-CR"/>
        </w:rPr>
        <w:t xml:space="preserve">Capítulo I. Disposiciones generales </w:t>
      </w:r>
    </w:p>
    <w:p w:rsidR="00FB0E4B" w:rsidRPr="00FB0E4B" w:rsidRDefault="00FB0E4B" w:rsidP="00FB0E4B">
      <w:pPr>
        <w:jc w:val="center"/>
        <w:rPr>
          <w:rFonts w:ascii="Arial" w:hAnsi="Arial" w:cs="Arial"/>
          <w:b/>
          <w:i/>
          <w:szCs w:val="20"/>
          <w:lang w:val="es-CR"/>
        </w:rPr>
      </w:pPr>
    </w:p>
    <w:p w:rsidR="00FB0E4B" w:rsidRPr="00FB0E4B" w:rsidRDefault="00FB0E4B" w:rsidP="00FB0E4B">
      <w:pPr>
        <w:ind w:left="851"/>
        <w:jc w:val="both"/>
        <w:rPr>
          <w:rFonts w:ascii="Arial" w:hAnsi="Arial" w:cs="Arial"/>
          <w:b/>
          <w:i/>
          <w:lang w:val="es-CR"/>
        </w:rPr>
      </w:pPr>
      <w:r w:rsidRPr="00FB0E4B">
        <w:rPr>
          <w:rFonts w:ascii="Arial" w:hAnsi="Arial" w:cs="Arial"/>
          <w:b/>
          <w:i/>
          <w:lang w:val="es-CR"/>
        </w:rPr>
        <w:t xml:space="preserve">Artículo 1. </w:t>
      </w:r>
      <w:r w:rsidRPr="00FB0E4B">
        <w:rPr>
          <w:rFonts w:ascii="Arial" w:hAnsi="Arial" w:cs="Arial"/>
          <w:b/>
          <w:i/>
          <w:lang w:val="es-CR"/>
        </w:rPr>
        <w:tab/>
        <w:t xml:space="preserve">Tipo de reglamento y alcance </w:t>
      </w:r>
    </w:p>
    <w:p w:rsidR="00FB0E4B" w:rsidRPr="00FB0E4B" w:rsidRDefault="00FB0E4B" w:rsidP="00FB0E4B">
      <w:pPr>
        <w:ind w:left="851"/>
        <w:jc w:val="both"/>
        <w:rPr>
          <w:rFonts w:ascii="Arial" w:hAnsi="Arial" w:cs="Arial"/>
          <w:b/>
          <w:i/>
          <w:lang w:val="es-CR"/>
        </w:rPr>
      </w:pPr>
    </w:p>
    <w:p w:rsidR="00FB0E4B" w:rsidRPr="00FB0E4B" w:rsidRDefault="00FB0E4B" w:rsidP="00FB0E4B">
      <w:pPr>
        <w:ind w:left="851"/>
        <w:jc w:val="both"/>
        <w:rPr>
          <w:rFonts w:ascii="Arial" w:hAnsi="Arial" w:cs="Arial"/>
          <w:i/>
          <w:lang w:val="es-CR"/>
        </w:rPr>
      </w:pPr>
      <w:r w:rsidRPr="00FB0E4B">
        <w:rPr>
          <w:rFonts w:ascii="Arial" w:hAnsi="Arial" w:cs="Arial"/>
          <w:i/>
          <w:lang w:val="es-CR"/>
        </w:rPr>
        <w:t>Este es un reglamento de tipo general</w:t>
      </w:r>
      <w:r w:rsidRPr="00FB0E4B">
        <w:rPr>
          <w:rFonts w:ascii="Arial" w:hAnsi="Arial" w:cs="Arial"/>
          <w:i/>
          <w:color w:val="000000"/>
          <w:sz w:val="16"/>
          <w:szCs w:val="16"/>
          <w:lang w:val="es-CR"/>
        </w:rPr>
        <w:t>.</w:t>
      </w:r>
    </w:p>
    <w:p w:rsidR="00FB0E4B" w:rsidRPr="00FB0E4B" w:rsidRDefault="00FB0E4B" w:rsidP="00FB0E4B">
      <w:pPr>
        <w:ind w:left="851"/>
        <w:jc w:val="both"/>
        <w:rPr>
          <w:rFonts w:ascii="Arial" w:hAnsi="Arial" w:cs="Arial"/>
          <w:i/>
          <w:lang w:val="es-CR"/>
        </w:rPr>
      </w:pPr>
      <w:r w:rsidRPr="00FB0E4B">
        <w:rPr>
          <w:rFonts w:ascii="Arial" w:hAnsi="Arial" w:cs="Arial"/>
          <w:i/>
          <w:lang w:val="es-CR"/>
        </w:rPr>
        <w:t>El alcance del presente reglamento es regular la asignación de las categorías de doctorado honoris causa, profesor honorario, profesor emérito y profesor invitado en el Instituto Tecnológico de Costa Rica (ITCR).</w:t>
      </w:r>
    </w:p>
    <w:p w:rsidR="00FB0E4B" w:rsidRPr="00FB0E4B" w:rsidRDefault="00FB0E4B" w:rsidP="00FB0E4B">
      <w:pPr>
        <w:ind w:left="851"/>
        <w:jc w:val="both"/>
        <w:rPr>
          <w:rFonts w:ascii="Arial" w:hAnsi="Arial" w:cs="Arial"/>
          <w:i/>
          <w:lang w:val="es-CR"/>
        </w:rPr>
      </w:pPr>
    </w:p>
    <w:p w:rsidR="00FB0E4B" w:rsidRPr="00FB0E4B" w:rsidRDefault="00FB0E4B" w:rsidP="00FB0E4B">
      <w:pPr>
        <w:tabs>
          <w:tab w:val="left" w:pos="1134"/>
          <w:tab w:val="left" w:pos="1418"/>
        </w:tabs>
        <w:ind w:left="851"/>
        <w:jc w:val="both"/>
        <w:rPr>
          <w:rFonts w:ascii="Arial" w:hAnsi="Arial" w:cs="Arial"/>
          <w:b/>
          <w:i/>
          <w:lang w:val="es-CR"/>
        </w:rPr>
      </w:pPr>
      <w:r w:rsidRPr="00FB0E4B">
        <w:rPr>
          <w:rFonts w:ascii="Arial" w:hAnsi="Arial" w:cs="Arial"/>
          <w:b/>
          <w:i/>
          <w:lang w:val="es-CR"/>
        </w:rPr>
        <w:t xml:space="preserve">Artículo 2. </w:t>
      </w:r>
      <w:r w:rsidRPr="00FB0E4B">
        <w:rPr>
          <w:rFonts w:ascii="Arial" w:hAnsi="Arial" w:cs="Arial"/>
          <w:b/>
          <w:i/>
          <w:lang w:val="es-CR"/>
        </w:rPr>
        <w:tab/>
        <w:t xml:space="preserve">Objetivos </w:t>
      </w:r>
    </w:p>
    <w:p w:rsidR="00FB0E4B" w:rsidRPr="00FB0E4B" w:rsidRDefault="00FB0E4B" w:rsidP="00FB0E4B">
      <w:pPr>
        <w:tabs>
          <w:tab w:val="left" w:pos="1134"/>
          <w:tab w:val="left" w:pos="1418"/>
        </w:tabs>
        <w:ind w:left="851"/>
        <w:jc w:val="both"/>
        <w:rPr>
          <w:rFonts w:ascii="Arial" w:hAnsi="Arial" w:cs="Arial"/>
          <w:b/>
          <w:i/>
          <w:lang w:val="es-CR"/>
        </w:rPr>
      </w:pPr>
      <w:r w:rsidRPr="00FB0E4B">
        <w:rPr>
          <w:rFonts w:ascii="Arial" w:hAnsi="Arial" w:cs="Arial"/>
          <w:b/>
          <w:i/>
          <w:lang w:val="es-CR"/>
        </w:rPr>
        <w:t xml:space="preserve"> </w:t>
      </w:r>
    </w:p>
    <w:p w:rsidR="00FB0E4B" w:rsidRPr="00FB0E4B" w:rsidRDefault="00FB0E4B" w:rsidP="00FB0E4B">
      <w:pPr>
        <w:ind w:left="851"/>
        <w:jc w:val="both"/>
        <w:rPr>
          <w:rFonts w:ascii="Arial" w:hAnsi="Arial" w:cs="Arial"/>
          <w:i/>
          <w:lang w:val="es-CR"/>
        </w:rPr>
      </w:pPr>
      <w:r w:rsidRPr="00FB0E4B">
        <w:rPr>
          <w:rFonts w:ascii="Arial" w:hAnsi="Arial" w:cs="Arial"/>
          <w:i/>
          <w:lang w:val="es-CR"/>
        </w:rPr>
        <w:t>Los objetivos de la presente normativa son:</w:t>
      </w:r>
    </w:p>
    <w:p w:rsidR="00FB0E4B" w:rsidRPr="00FB0E4B" w:rsidRDefault="00FB0E4B" w:rsidP="00FB0E4B">
      <w:pPr>
        <w:numPr>
          <w:ilvl w:val="0"/>
          <w:numId w:val="35"/>
        </w:numPr>
        <w:jc w:val="both"/>
        <w:rPr>
          <w:rFonts w:ascii="Arial" w:hAnsi="Arial" w:cs="Arial"/>
          <w:i/>
          <w:lang w:val="es-CR"/>
        </w:rPr>
      </w:pPr>
      <w:r w:rsidRPr="00FB0E4B">
        <w:rPr>
          <w:rFonts w:ascii="Arial" w:hAnsi="Arial" w:cs="Arial"/>
          <w:i/>
          <w:lang w:val="es-CR"/>
        </w:rPr>
        <w:t>Reconocer a académicos, mediante categorías honoríficas, su trayectoria académica y científica.</w:t>
      </w:r>
    </w:p>
    <w:p w:rsidR="00FB0E4B" w:rsidRPr="00FB0E4B" w:rsidRDefault="00FB0E4B" w:rsidP="00FB0E4B">
      <w:pPr>
        <w:numPr>
          <w:ilvl w:val="0"/>
          <w:numId w:val="35"/>
        </w:numPr>
        <w:jc w:val="both"/>
        <w:rPr>
          <w:rFonts w:ascii="Arial" w:hAnsi="Arial" w:cs="Arial"/>
          <w:i/>
          <w:lang w:val="es-CR"/>
        </w:rPr>
      </w:pPr>
      <w:r w:rsidRPr="00FB0E4B">
        <w:rPr>
          <w:rFonts w:ascii="Arial" w:hAnsi="Arial" w:cs="Arial"/>
          <w:i/>
          <w:lang w:val="es-CR"/>
        </w:rPr>
        <w:t>Fomentar y facilitar la participación de profesores externos al ITCR para el fortalecimiento de la actividad académica en la Institución</w:t>
      </w:r>
    </w:p>
    <w:p w:rsidR="00FB0E4B" w:rsidRPr="00FB0E4B" w:rsidRDefault="00FB0E4B" w:rsidP="00FB0E4B">
      <w:pPr>
        <w:ind w:left="1571"/>
        <w:jc w:val="both"/>
        <w:rPr>
          <w:rFonts w:ascii="Arial" w:hAnsi="Arial" w:cs="Arial"/>
          <w:i/>
          <w:lang w:val="es-CR"/>
        </w:rPr>
      </w:pPr>
    </w:p>
    <w:p w:rsidR="00FB0E4B" w:rsidRPr="00FB0E4B" w:rsidRDefault="00FB0E4B" w:rsidP="00FB0E4B">
      <w:pPr>
        <w:ind w:left="851"/>
        <w:jc w:val="both"/>
        <w:rPr>
          <w:rFonts w:ascii="Arial" w:hAnsi="Arial" w:cs="Arial"/>
          <w:b/>
          <w:i/>
          <w:lang w:val="es-CR"/>
        </w:rPr>
      </w:pPr>
      <w:r w:rsidRPr="00FB0E4B">
        <w:rPr>
          <w:rFonts w:ascii="Arial" w:hAnsi="Arial" w:cs="Arial"/>
          <w:b/>
          <w:i/>
          <w:lang w:val="es-CR"/>
        </w:rPr>
        <w:t xml:space="preserve">Artículo 3. </w:t>
      </w:r>
      <w:r w:rsidRPr="00FB0E4B">
        <w:rPr>
          <w:rFonts w:ascii="Arial" w:hAnsi="Arial" w:cs="Arial"/>
          <w:b/>
          <w:i/>
          <w:lang w:val="es-CR"/>
        </w:rPr>
        <w:tab/>
        <w:t>Definiciones</w:t>
      </w:r>
    </w:p>
    <w:p w:rsidR="00FB0E4B" w:rsidRPr="00FB0E4B" w:rsidRDefault="00FB0E4B" w:rsidP="00FB0E4B">
      <w:pPr>
        <w:ind w:left="851"/>
        <w:jc w:val="both"/>
        <w:rPr>
          <w:rFonts w:ascii="Arial" w:hAnsi="Arial" w:cs="Arial"/>
          <w:b/>
          <w:i/>
          <w:lang w:val="es-CR"/>
        </w:rPr>
      </w:pPr>
    </w:p>
    <w:p w:rsidR="00FB0E4B" w:rsidRPr="00FB0E4B" w:rsidRDefault="00FB0E4B" w:rsidP="00FB0E4B">
      <w:pPr>
        <w:ind w:left="851"/>
        <w:jc w:val="both"/>
        <w:rPr>
          <w:rFonts w:ascii="Arial" w:hAnsi="Arial" w:cs="Arial"/>
          <w:i/>
          <w:lang w:val="es-CR"/>
        </w:rPr>
      </w:pPr>
      <w:r w:rsidRPr="00FB0E4B">
        <w:rPr>
          <w:rFonts w:ascii="Arial" w:hAnsi="Arial" w:cs="Arial"/>
          <w:b/>
          <w:i/>
          <w:lang w:val="es-CR"/>
        </w:rPr>
        <w:t>Doctorado honoris causa:</w:t>
      </w:r>
      <w:r w:rsidRPr="00FB0E4B">
        <w:rPr>
          <w:rFonts w:ascii="Arial" w:hAnsi="Arial" w:cs="Arial"/>
          <w:i/>
          <w:lang w:val="es-CR"/>
        </w:rPr>
        <w:t xml:space="preserve"> es la máxima distinción que otorga el ITCR. Esta distinción se otorga a las personas que se distingan por sus méritos excepcionales en beneficio del país o, en casos muy calificados, de la humanidad.</w:t>
      </w:r>
    </w:p>
    <w:p w:rsidR="00FB0E4B" w:rsidRPr="00FB0E4B" w:rsidRDefault="00FB0E4B" w:rsidP="00FB0E4B">
      <w:pPr>
        <w:ind w:left="851"/>
        <w:jc w:val="both"/>
        <w:rPr>
          <w:rFonts w:ascii="Arial" w:hAnsi="Arial" w:cs="Arial"/>
          <w:i/>
          <w:lang w:val="es-CR"/>
        </w:rPr>
      </w:pPr>
      <w:r w:rsidRPr="00FB0E4B">
        <w:rPr>
          <w:rFonts w:ascii="Arial" w:hAnsi="Arial" w:cs="Arial"/>
          <w:b/>
          <w:i/>
          <w:lang w:val="es-CR"/>
        </w:rPr>
        <w:t xml:space="preserve">Profesor emérito: </w:t>
      </w:r>
      <w:r w:rsidRPr="00FB0E4B">
        <w:rPr>
          <w:rFonts w:ascii="Arial" w:hAnsi="Arial" w:cs="Arial"/>
          <w:i/>
          <w:lang w:val="es-CR"/>
        </w:rPr>
        <w:t>es el reconocimiento que se le concede a un académico de la más alta jerarquía que ha cesado sus funciones y que haya contribuido con aportes al quehacer de la docencia, investigación y extensión a nivel institucional.</w:t>
      </w:r>
    </w:p>
    <w:p w:rsidR="00FB0E4B" w:rsidRPr="00FB0E4B" w:rsidRDefault="00FB0E4B" w:rsidP="00FB0E4B">
      <w:pPr>
        <w:ind w:left="851"/>
        <w:jc w:val="both"/>
        <w:rPr>
          <w:rFonts w:ascii="Arial" w:hAnsi="Arial" w:cs="Arial"/>
          <w:i/>
          <w:lang w:val="es-CR"/>
        </w:rPr>
      </w:pPr>
      <w:r w:rsidRPr="00FB0E4B">
        <w:rPr>
          <w:rFonts w:ascii="Arial" w:hAnsi="Arial" w:cs="Arial"/>
          <w:b/>
          <w:i/>
          <w:lang w:val="es-CR"/>
        </w:rPr>
        <w:t>Profesor honorario:</w:t>
      </w:r>
      <w:r w:rsidRPr="00FB0E4B">
        <w:rPr>
          <w:rFonts w:ascii="Arial" w:hAnsi="Arial" w:cs="Arial"/>
          <w:i/>
          <w:lang w:val="es-CR"/>
        </w:rPr>
        <w:t xml:space="preserve"> será aquel profesional que, por sus méritos profesionales y académicos, merece ser profesor de la Institución y tendrá los derechos que tal condición implica.</w:t>
      </w:r>
    </w:p>
    <w:p w:rsidR="00FB0E4B" w:rsidRPr="00FB0E4B" w:rsidRDefault="00FB0E4B" w:rsidP="00FB0E4B">
      <w:pPr>
        <w:ind w:left="851"/>
        <w:jc w:val="both"/>
        <w:rPr>
          <w:rFonts w:ascii="Arial" w:hAnsi="Arial" w:cs="Arial"/>
          <w:b/>
          <w:i/>
          <w:lang w:val="es-CR"/>
        </w:rPr>
      </w:pPr>
      <w:r w:rsidRPr="00FB0E4B">
        <w:rPr>
          <w:rFonts w:ascii="Arial" w:hAnsi="Arial" w:cs="Arial"/>
          <w:b/>
          <w:i/>
          <w:lang w:val="es-CR" w:eastAsia="es-CR"/>
        </w:rPr>
        <w:t>Profesor invitado</w:t>
      </w:r>
      <w:r w:rsidRPr="00FB0E4B">
        <w:rPr>
          <w:rFonts w:ascii="Arial" w:hAnsi="Arial" w:cs="Arial"/>
          <w:i/>
          <w:lang w:val="es-CR" w:eastAsia="es-CR"/>
        </w:rPr>
        <w:t>: es aquel profesional que por solicitud que le plantee una instancia académica del ITCR, se le acepte por un plazo definido para desarrollar alguna actividad académica concreta en esa dependencia, preferiblemente de investigación, extensión o en docencia, en su condición de experto en el tema. También se consideran en esta categoría los casos de académicos cooperantes designados por instituciones externas ante solicitud del ITCR.</w:t>
      </w:r>
    </w:p>
    <w:p w:rsidR="00FB0E4B" w:rsidRPr="00FB0E4B" w:rsidRDefault="00FB0E4B" w:rsidP="00FB0E4B">
      <w:pPr>
        <w:ind w:left="851"/>
        <w:jc w:val="both"/>
        <w:rPr>
          <w:rFonts w:ascii="Arial" w:hAnsi="Arial" w:cs="Arial"/>
          <w:i/>
          <w:lang w:val="es-CR" w:eastAsia="es-CR"/>
        </w:rPr>
      </w:pPr>
      <w:r w:rsidRPr="00FB0E4B">
        <w:rPr>
          <w:rFonts w:ascii="Arial" w:hAnsi="Arial" w:cs="Arial"/>
          <w:b/>
          <w:i/>
          <w:lang w:val="es-CR" w:eastAsia="es-CR"/>
        </w:rPr>
        <w:t xml:space="preserve">Profesor visitante: </w:t>
      </w:r>
      <w:r w:rsidRPr="00FB0E4B">
        <w:rPr>
          <w:rFonts w:ascii="Arial" w:hAnsi="Arial" w:cs="Arial"/>
          <w:i/>
          <w:lang w:val="es-CR" w:eastAsia="es-CR"/>
        </w:rPr>
        <w:t>es el académico</w:t>
      </w:r>
      <w:r w:rsidRPr="00FB0E4B">
        <w:rPr>
          <w:rFonts w:ascii="Arial" w:hAnsi="Arial" w:cs="Arial"/>
          <w:b/>
          <w:i/>
          <w:lang w:val="es-CR" w:eastAsia="es-CR"/>
        </w:rPr>
        <w:t xml:space="preserve"> </w:t>
      </w:r>
      <w:r w:rsidRPr="00FB0E4B">
        <w:rPr>
          <w:rFonts w:ascii="Arial" w:hAnsi="Arial" w:cs="Arial"/>
          <w:i/>
          <w:lang w:val="es-CR" w:eastAsia="es-CR"/>
        </w:rPr>
        <w:t>nacional o extranjero</w:t>
      </w:r>
      <w:r w:rsidRPr="00FB0E4B">
        <w:rPr>
          <w:rFonts w:ascii="Arial" w:hAnsi="Arial" w:cs="Arial"/>
          <w:b/>
          <w:i/>
          <w:lang w:val="es-CR" w:eastAsia="es-CR"/>
        </w:rPr>
        <w:t xml:space="preserve"> </w:t>
      </w:r>
      <w:r w:rsidRPr="00FB0E4B">
        <w:rPr>
          <w:rFonts w:ascii="Arial" w:hAnsi="Arial" w:cs="Arial"/>
          <w:i/>
          <w:lang w:val="es-CR" w:eastAsia="es-CR"/>
        </w:rPr>
        <w:t xml:space="preserve">que realiza algún tipo de pasantía o instancia corta (hasta seis meses) para colaborar en la docencia, la investigación y la extensión en el ITCR. </w:t>
      </w:r>
    </w:p>
    <w:p w:rsidR="00FB0E4B" w:rsidRPr="00FB0E4B" w:rsidRDefault="00FB0E4B" w:rsidP="00FB0E4B">
      <w:pPr>
        <w:ind w:left="851"/>
        <w:jc w:val="both"/>
        <w:rPr>
          <w:rFonts w:ascii="Arial" w:hAnsi="Arial" w:cs="Arial"/>
          <w:i/>
          <w:lang w:val="es-CR" w:eastAsia="es-CR"/>
        </w:rPr>
      </w:pPr>
    </w:p>
    <w:p w:rsidR="00FB0E4B" w:rsidRPr="00FB0E4B" w:rsidRDefault="00FB0E4B" w:rsidP="00FB0E4B">
      <w:pPr>
        <w:ind w:left="851"/>
        <w:jc w:val="center"/>
        <w:rPr>
          <w:rFonts w:ascii="Arial" w:hAnsi="Arial" w:cs="Arial"/>
          <w:b/>
          <w:i/>
          <w:szCs w:val="20"/>
          <w:lang w:val="es-CR"/>
        </w:rPr>
      </w:pPr>
      <w:r w:rsidRPr="00FB0E4B">
        <w:rPr>
          <w:rFonts w:ascii="Arial" w:hAnsi="Arial" w:cs="Arial"/>
          <w:b/>
          <w:i/>
          <w:szCs w:val="20"/>
          <w:lang w:val="es-CR"/>
        </w:rPr>
        <w:t xml:space="preserve">Capítulo II. De la obtención de la categoría </w:t>
      </w:r>
    </w:p>
    <w:p w:rsidR="00FB0E4B" w:rsidRPr="00FB0E4B" w:rsidRDefault="00FB0E4B" w:rsidP="00FB0E4B">
      <w:pPr>
        <w:ind w:left="851"/>
        <w:jc w:val="center"/>
        <w:rPr>
          <w:rFonts w:ascii="Arial" w:hAnsi="Arial" w:cs="Arial"/>
          <w:b/>
          <w:i/>
          <w:szCs w:val="20"/>
          <w:lang w:val="es-CR"/>
        </w:rPr>
      </w:pPr>
    </w:p>
    <w:p w:rsidR="00FB0E4B" w:rsidRPr="00FB0E4B" w:rsidRDefault="00FB0E4B" w:rsidP="00FB0E4B">
      <w:pPr>
        <w:ind w:left="851"/>
        <w:jc w:val="both"/>
        <w:rPr>
          <w:rFonts w:ascii="Arial" w:hAnsi="Arial" w:cs="Arial"/>
          <w:b/>
          <w:i/>
          <w:lang w:val="es-CR"/>
        </w:rPr>
      </w:pPr>
      <w:r w:rsidRPr="00FB0E4B">
        <w:rPr>
          <w:rFonts w:ascii="Arial" w:hAnsi="Arial" w:cs="Arial"/>
          <w:b/>
          <w:i/>
          <w:lang w:val="es-CR"/>
        </w:rPr>
        <w:t xml:space="preserve">Artículo 4. </w:t>
      </w:r>
      <w:r w:rsidRPr="00FB0E4B">
        <w:rPr>
          <w:rFonts w:ascii="Arial" w:hAnsi="Arial" w:cs="Arial"/>
          <w:b/>
          <w:i/>
          <w:lang w:val="es-CR"/>
        </w:rPr>
        <w:tab/>
        <w:t>Del doctorado honoris causa</w:t>
      </w:r>
    </w:p>
    <w:p w:rsidR="00FB0E4B" w:rsidRPr="00FB0E4B" w:rsidRDefault="00FB0E4B" w:rsidP="00FB0E4B">
      <w:pPr>
        <w:ind w:left="851"/>
        <w:jc w:val="both"/>
        <w:rPr>
          <w:rFonts w:ascii="Arial" w:hAnsi="Arial" w:cs="Arial"/>
          <w:b/>
          <w:i/>
          <w:lang w:val="es-CR"/>
        </w:rPr>
      </w:pPr>
    </w:p>
    <w:p w:rsidR="00FB0E4B" w:rsidRPr="00FB0E4B" w:rsidRDefault="00FB0E4B" w:rsidP="00FB0E4B">
      <w:pPr>
        <w:ind w:left="851"/>
        <w:jc w:val="both"/>
        <w:rPr>
          <w:rFonts w:ascii="Arial" w:hAnsi="Arial" w:cs="Arial"/>
          <w:i/>
          <w:lang w:val="es-CR"/>
        </w:rPr>
      </w:pPr>
      <w:r w:rsidRPr="00FB0E4B">
        <w:rPr>
          <w:rFonts w:ascii="Arial" w:hAnsi="Arial" w:cs="Arial"/>
          <w:i/>
          <w:lang w:val="es-CR"/>
        </w:rPr>
        <w:t>La solicitud para otorgar el doctorado honoris causa debe ser presentada ante el Consejo Institucional, de manera justificada, por una persona integrante de ese órgano.  El Consejo Institucional nombrará de su seno una comisión que rendirá un dictamen.</w:t>
      </w:r>
    </w:p>
    <w:p w:rsidR="00FB0E4B" w:rsidRPr="00FB0E4B" w:rsidRDefault="00FB0E4B" w:rsidP="00FB0E4B">
      <w:pPr>
        <w:ind w:left="851"/>
        <w:jc w:val="both"/>
        <w:rPr>
          <w:rFonts w:ascii="Arial" w:hAnsi="Arial" w:cs="Arial"/>
          <w:i/>
          <w:lang w:val="es-CR"/>
        </w:rPr>
      </w:pPr>
      <w:r w:rsidRPr="00FB0E4B">
        <w:rPr>
          <w:rFonts w:ascii="Arial" w:hAnsi="Arial" w:cs="Arial"/>
          <w:i/>
          <w:lang w:val="es-CR"/>
        </w:rPr>
        <w:t>En caso de ser rechazada la designación de un doctorado honoris causa, se da por cerrado el proceso para todos los efectos las actas, los documentos relacionados.</w:t>
      </w:r>
    </w:p>
    <w:p w:rsidR="00FB0E4B" w:rsidRPr="00FB0E4B" w:rsidRDefault="00FB0E4B" w:rsidP="00FB0E4B">
      <w:pPr>
        <w:ind w:left="851"/>
        <w:jc w:val="both"/>
        <w:rPr>
          <w:rFonts w:ascii="Arial" w:hAnsi="Arial" w:cs="Arial"/>
          <w:i/>
          <w:lang w:val="es-CR"/>
        </w:rPr>
      </w:pPr>
    </w:p>
    <w:p w:rsidR="00FB0E4B" w:rsidRDefault="00FB0E4B" w:rsidP="00FB0E4B">
      <w:pPr>
        <w:ind w:left="851"/>
        <w:jc w:val="both"/>
        <w:rPr>
          <w:rFonts w:ascii="Arial" w:hAnsi="Arial" w:cs="Arial"/>
          <w:b/>
          <w:i/>
          <w:lang w:val="es-CR" w:eastAsia="en-US"/>
        </w:rPr>
      </w:pPr>
      <w:r w:rsidRPr="00FB0E4B">
        <w:rPr>
          <w:rFonts w:ascii="Arial" w:hAnsi="Arial" w:cs="Arial"/>
          <w:b/>
          <w:i/>
          <w:lang w:val="es-CR" w:eastAsia="en-US"/>
        </w:rPr>
        <w:t xml:space="preserve">Artículo 5. </w:t>
      </w:r>
      <w:r w:rsidRPr="00FB0E4B">
        <w:rPr>
          <w:rFonts w:ascii="Arial" w:hAnsi="Arial" w:cs="Arial"/>
          <w:b/>
          <w:i/>
          <w:lang w:val="es-CR" w:eastAsia="en-US"/>
        </w:rPr>
        <w:tab/>
        <w:t>Del profesor emérito</w:t>
      </w:r>
    </w:p>
    <w:p w:rsidR="00FB0E4B" w:rsidRPr="00FB0E4B" w:rsidRDefault="00FB0E4B" w:rsidP="00FB0E4B">
      <w:pPr>
        <w:ind w:left="851"/>
        <w:jc w:val="both"/>
        <w:rPr>
          <w:rFonts w:ascii="Arial" w:hAnsi="Arial" w:cs="Arial"/>
          <w:b/>
          <w:i/>
          <w:lang w:val="es-CR"/>
        </w:rPr>
      </w:pPr>
    </w:p>
    <w:p w:rsidR="00FB0E4B" w:rsidRPr="00FB0E4B" w:rsidRDefault="00FB0E4B" w:rsidP="00FB0E4B">
      <w:pPr>
        <w:framePr w:hSpace="141" w:wrap="around" w:vAnchor="text" w:hAnchor="text" w:xAlign="center" w:y="1"/>
        <w:ind w:left="851"/>
        <w:suppressOverlap/>
        <w:jc w:val="both"/>
        <w:rPr>
          <w:rFonts w:ascii="Arial" w:hAnsi="Arial" w:cs="Arial"/>
          <w:i/>
          <w:lang w:val="es-CR"/>
        </w:rPr>
      </w:pPr>
      <w:r w:rsidRPr="00FB0E4B">
        <w:rPr>
          <w:rFonts w:ascii="Arial" w:hAnsi="Arial" w:cs="Arial"/>
          <w:i/>
          <w:lang w:val="es-CR"/>
        </w:rPr>
        <w:t xml:space="preserve">Para recibir la categoría de Profesor Emérito se deberá cumplir con los siguientes requisitos: </w:t>
      </w:r>
    </w:p>
    <w:p w:rsidR="00FB0E4B" w:rsidRPr="00FB0E4B" w:rsidRDefault="00FB0E4B" w:rsidP="00FB0E4B">
      <w:pPr>
        <w:framePr w:hSpace="141" w:wrap="around" w:vAnchor="text" w:hAnchor="text" w:xAlign="center" w:y="1"/>
        <w:numPr>
          <w:ilvl w:val="0"/>
          <w:numId w:val="31"/>
        </w:numPr>
        <w:suppressOverlap/>
        <w:jc w:val="both"/>
        <w:rPr>
          <w:rFonts w:ascii="Arial" w:hAnsi="Arial" w:cs="Arial"/>
          <w:i/>
          <w:lang w:val="es-CR"/>
        </w:rPr>
      </w:pPr>
      <w:r w:rsidRPr="00FB0E4B">
        <w:rPr>
          <w:rFonts w:ascii="Arial" w:hAnsi="Arial" w:cs="Arial"/>
          <w:i/>
          <w:lang w:val="es-CR"/>
        </w:rPr>
        <w:t xml:space="preserve">Ser catedrático jubilado del ITCR  </w:t>
      </w:r>
    </w:p>
    <w:p w:rsidR="00FB0E4B" w:rsidRPr="00FB0E4B" w:rsidRDefault="00FB0E4B" w:rsidP="00FB0E4B">
      <w:pPr>
        <w:framePr w:hSpace="141" w:wrap="around" w:vAnchor="text" w:hAnchor="text" w:xAlign="center" w:y="1"/>
        <w:numPr>
          <w:ilvl w:val="0"/>
          <w:numId w:val="31"/>
        </w:numPr>
        <w:suppressOverlap/>
        <w:jc w:val="both"/>
        <w:rPr>
          <w:rFonts w:ascii="Arial" w:hAnsi="Arial" w:cs="Arial"/>
          <w:i/>
          <w:lang w:val="es-CR"/>
        </w:rPr>
      </w:pPr>
      <w:r w:rsidRPr="00FB0E4B">
        <w:rPr>
          <w:rFonts w:ascii="Arial" w:hAnsi="Arial" w:cs="Arial"/>
          <w:i/>
          <w:lang w:val="es-CR"/>
        </w:rPr>
        <w:t>Haberse distinguido por sus méritos académicos o profesionales</w:t>
      </w:r>
    </w:p>
    <w:p w:rsidR="00FB0E4B" w:rsidRPr="00FB0E4B" w:rsidRDefault="00FB0E4B" w:rsidP="00FB0E4B">
      <w:pPr>
        <w:framePr w:hSpace="141" w:wrap="around" w:vAnchor="text" w:hAnchor="text" w:xAlign="center" w:y="1"/>
        <w:ind w:left="1571"/>
        <w:suppressOverlap/>
        <w:jc w:val="both"/>
        <w:rPr>
          <w:rFonts w:ascii="Arial" w:hAnsi="Arial" w:cs="Arial"/>
          <w:i/>
          <w:lang w:val="es-CR"/>
        </w:rPr>
      </w:pPr>
    </w:p>
    <w:p w:rsidR="00FB0E4B" w:rsidRPr="00FB0E4B" w:rsidRDefault="00FB0E4B" w:rsidP="00FB0E4B">
      <w:pPr>
        <w:framePr w:hSpace="141" w:wrap="around" w:vAnchor="text" w:hAnchor="text" w:xAlign="center" w:y="1"/>
        <w:ind w:left="851"/>
        <w:suppressOverlap/>
        <w:jc w:val="both"/>
        <w:rPr>
          <w:rFonts w:ascii="Arial" w:hAnsi="Arial" w:cs="Arial"/>
          <w:i/>
          <w:lang w:val="es-CR"/>
        </w:rPr>
      </w:pPr>
      <w:r w:rsidRPr="00FB0E4B">
        <w:rPr>
          <w:rFonts w:ascii="Arial" w:hAnsi="Arial" w:cs="Arial"/>
          <w:i/>
          <w:lang w:val="es-CR"/>
        </w:rPr>
        <w:t>Esta categoría será conferida por una instancia académica, por votación positiva de al menos las dos terceras de los integrantes del Consejo.</w:t>
      </w:r>
    </w:p>
    <w:p w:rsidR="00FB0E4B" w:rsidRPr="00FB0E4B" w:rsidRDefault="00FB0E4B" w:rsidP="00FB0E4B">
      <w:pPr>
        <w:ind w:left="851"/>
        <w:jc w:val="both"/>
        <w:rPr>
          <w:rFonts w:ascii="Arial" w:hAnsi="Arial" w:cs="Arial"/>
          <w:i/>
          <w:lang w:val="es-CR"/>
        </w:rPr>
      </w:pPr>
      <w:r w:rsidRPr="00FB0E4B">
        <w:rPr>
          <w:rFonts w:ascii="Arial" w:hAnsi="Arial" w:cs="Arial"/>
          <w:i/>
          <w:lang w:val="es-CR"/>
        </w:rPr>
        <w:t>Si realizado el trámite para conferir la categoría de Profesor Emérito, el candidato no obtuviere la aprobación requerida para ese nombramiento, podrá presentarse nuevamente la solicitud para su valoración dos años después de emitida la resolución, siguiendo las disposiciones establecidas en este Reglamento y sin mención expresa del acto en que se rechazó la solicitud anterior.</w:t>
      </w:r>
    </w:p>
    <w:p w:rsidR="00FB0E4B" w:rsidRPr="00FB0E4B" w:rsidRDefault="00FB0E4B" w:rsidP="00FB0E4B">
      <w:pPr>
        <w:ind w:left="851"/>
        <w:jc w:val="both"/>
        <w:rPr>
          <w:rFonts w:ascii="Arial" w:hAnsi="Arial" w:cs="Arial"/>
          <w:i/>
          <w:lang w:val="es-CR" w:eastAsia="en-US"/>
        </w:rPr>
      </w:pPr>
    </w:p>
    <w:p w:rsidR="00FB0E4B" w:rsidRPr="00FB0E4B" w:rsidRDefault="00FB0E4B" w:rsidP="00FB0E4B">
      <w:pPr>
        <w:ind w:left="851"/>
        <w:jc w:val="both"/>
        <w:rPr>
          <w:rFonts w:ascii="Arial" w:hAnsi="Arial" w:cs="Arial"/>
          <w:b/>
          <w:i/>
          <w:lang w:val="es-CR"/>
        </w:rPr>
      </w:pPr>
      <w:r w:rsidRPr="00FB0E4B">
        <w:rPr>
          <w:rFonts w:ascii="Arial" w:hAnsi="Arial" w:cs="Arial"/>
          <w:b/>
          <w:i/>
          <w:lang w:val="es-CR"/>
        </w:rPr>
        <w:t xml:space="preserve">Artículo 6. </w:t>
      </w:r>
      <w:r w:rsidRPr="00FB0E4B">
        <w:rPr>
          <w:rFonts w:ascii="Arial" w:hAnsi="Arial" w:cs="Arial"/>
          <w:b/>
          <w:i/>
          <w:lang w:val="es-CR"/>
        </w:rPr>
        <w:tab/>
        <w:t>Profesor honorario</w:t>
      </w:r>
    </w:p>
    <w:p w:rsidR="00FB0E4B" w:rsidRPr="00FB0E4B" w:rsidRDefault="00FB0E4B" w:rsidP="00FB0E4B">
      <w:pPr>
        <w:ind w:left="851"/>
        <w:jc w:val="both"/>
        <w:rPr>
          <w:rFonts w:ascii="Arial" w:hAnsi="Arial" w:cs="Arial"/>
          <w:b/>
          <w:i/>
          <w:lang w:val="es-CR"/>
        </w:rPr>
      </w:pPr>
    </w:p>
    <w:p w:rsidR="00FB0E4B" w:rsidRPr="00FB0E4B" w:rsidRDefault="00FB0E4B" w:rsidP="00FB0E4B">
      <w:pPr>
        <w:ind w:left="851"/>
        <w:jc w:val="both"/>
        <w:rPr>
          <w:rFonts w:ascii="Arial" w:hAnsi="Arial" w:cs="Arial"/>
          <w:i/>
          <w:lang w:val="es-CR"/>
        </w:rPr>
      </w:pPr>
      <w:r w:rsidRPr="00FB0E4B">
        <w:rPr>
          <w:rFonts w:ascii="Arial" w:hAnsi="Arial" w:cs="Arial"/>
          <w:i/>
          <w:lang w:val="es-CR"/>
        </w:rPr>
        <w:t>Para recibir la categoría de Profesor honorario, el profesional deberá haberse distinguido por sus méritos académicos o profesionales.</w:t>
      </w:r>
    </w:p>
    <w:p w:rsidR="00FB0E4B" w:rsidRPr="00FB0E4B" w:rsidRDefault="00FB0E4B" w:rsidP="00FB0E4B">
      <w:pPr>
        <w:ind w:left="851"/>
        <w:jc w:val="both"/>
        <w:rPr>
          <w:rFonts w:ascii="Arial" w:hAnsi="Arial" w:cs="Arial"/>
          <w:i/>
          <w:lang w:val="es-CR"/>
        </w:rPr>
      </w:pPr>
      <w:r w:rsidRPr="00FB0E4B">
        <w:rPr>
          <w:rFonts w:ascii="Arial" w:hAnsi="Arial" w:cs="Arial"/>
          <w:i/>
          <w:lang w:val="es-CR"/>
        </w:rPr>
        <w:t>Esta categoría será conferida por una instancia académica, por votación positiva de al menos las dos terceras de los integrantes del Consejo.</w:t>
      </w:r>
    </w:p>
    <w:p w:rsidR="00FB0E4B" w:rsidRPr="00FB0E4B" w:rsidRDefault="00FB0E4B" w:rsidP="00FB0E4B">
      <w:pPr>
        <w:ind w:left="851"/>
        <w:jc w:val="both"/>
        <w:rPr>
          <w:rFonts w:ascii="Arial" w:hAnsi="Arial" w:cs="Arial"/>
          <w:i/>
          <w:lang w:val="es-CR"/>
        </w:rPr>
      </w:pPr>
      <w:r w:rsidRPr="00FB0E4B">
        <w:rPr>
          <w:rFonts w:ascii="Arial" w:hAnsi="Arial" w:cs="Arial"/>
          <w:i/>
          <w:lang w:val="es-CR"/>
        </w:rPr>
        <w:t>Si realizado el trámite para conferir la categoría de Profesor honorario, el candidato no obtuviere la aprobación requerida para ese nombramiento, podrá presentarse nuevamente la solicitud para su valoración dos años después de emitida la resolución, siguiendo las disposiciones establecidas en este Reglamento y sin mención expresa del acto en que se rechazó la solicitud anterior.</w:t>
      </w:r>
    </w:p>
    <w:p w:rsidR="00FB0E4B" w:rsidRPr="00FB0E4B" w:rsidRDefault="00FB0E4B" w:rsidP="00FB0E4B">
      <w:pPr>
        <w:ind w:left="851"/>
        <w:jc w:val="both"/>
        <w:rPr>
          <w:rFonts w:ascii="Arial" w:hAnsi="Arial" w:cs="Arial"/>
          <w:i/>
          <w:lang w:val="es-CR"/>
        </w:rPr>
      </w:pPr>
    </w:p>
    <w:p w:rsidR="00FB0E4B" w:rsidRPr="00FB0E4B" w:rsidRDefault="00FB0E4B" w:rsidP="00FB0E4B">
      <w:pPr>
        <w:ind w:left="851"/>
        <w:jc w:val="both"/>
        <w:rPr>
          <w:rFonts w:ascii="Arial" w:hAnsi="Arial" w:cs="Arial"/>
          <w:b/>
          <w:i/>
          <w:lang w:val="es-CR"/>
        </w:rPr>
      </w:pPr>
      <w:r w:rsidRPr="00FB0E4B">
        <w:rPr>
          <w:rFonts w:ascii="Arial" w:hAnsi="Arial" w:cs="Arial"/>
          <w:b/>
          <w:i/>
          <w:lang w:val="es-CR"/>
        </w:rPr>
        <w:t>Artículo 7.</w:t>
      </w:r>
      <w:r w:rsidRPr="00FB0E4B">
        <w:rPr>
          <w:rFonts w:ascii="Arial" w:hAnsi="Arial" w:cs="Arial"/>
          <w:b/>
          <w:i/>
          <w:lang w:val="es-CR"/>
        </w:rPr>
        <w:tab/>
        <w:t>Profesor Invitado</w:t>
      </w:r>
    </w:p>
    <w:p w:rsidR="00FB0E4B" w:rsidRPr="00FB0E4B" w:rsidRDefault="00FB0E4B" w:rsidP="00FB0E4B">
      <w:pPr>
        <w:ind w:left="851"/>
        <w:jc w:val="both"/>
        <w:rPr>
          <w:rFonts w:ascii="Arial" w:hAnsi="Arial" w:cs="Arial"/>
          <w:b/>
          <w:i/>
          <w:lang w:val="es-CR"/>
        </w:rPr>
      </w:pPr>
    </w:p>
    <w:p w:rsidR="00FB0E4B" w:rsidRPr="00FB0E4B" w:rsidRDefault="00FB0E4B" w:rsidP="00FB0E4B">
      <w:pPr>
        <w:ind w:left="851"/>
        <w:jc w:val="both"/>
        <w:rPr>
          <w:rFonts w:ascii="Arial" w:hAnsi="Arial" w:cs="Arial"/>
          <w:i/>
          <w:lang w:val="es-CR"/>
        </w:rPr>
      </w:pPr>
      <w:r w:rsidRPr="00FB0E4B">
        <w:rPr>
          <w:rFonts w:ascii="Arial" w:hAnsi="Arial" w:cs="Arial"/>
          <w:i/>
          <w:lang w:val="es-CR"/>
        </w:rPr>
        <w:t xml:space="preserve">Para recibir la categoría de Profesor Invitado se requiere: </w:t>
      </w:r>
    </w:p>
    <w:p w:rsidR="00FB0E4B" w:rsidRPr="00FB0E4B" w:rsidRDefault="00FB0E4B" w:rsidP="00FB0E4B">
      <w:pPr>
        <w:numPr>
          <w:ilvl w:val="0"/>
          <w:numId w:val="32"/>
        </w:numPr>
        <w:jc w:val="both"/>
        <w:rPr>
          <w:rFonts w:ascii="Arial" w:hAnsi="Arial" w:cs="Arial"/>
          <w:i/>
          <w:lang w:val="es-CR"/>
        </w:rPr>
      </w:pPr>
      <w:r w:rsidRPr="00FB0E4B">
        <w:rPr>
          <w:rFonts w:ascii="Arial" w:hAnsi="Arial" w:cs="Arial"/>
          <w:i/>
          <w:lang w:val="es-CR"/>
        </w:rPr>
        <w:t>Tener como mínimo el grado académico universitario de doctorado universitario</w:t>
      </w:r>
    </w:p>
    <w:p w:rsidR="00FB0E4B" w:rsidRPr="00FB0E4B" w:rsidRDefault="00FB0E4B" w:rsidP="00FB0E4B">
      <w:pPr>
        <w:numPr>
          <w:ilvl w:val="0"/>
          <w:numId w:val="32"/>
        </w:numPr>
        <w:jc w:val="both"/>
        <w:rPr>
          <w:rFonts w:ascii="Arial" w:hAnsi="Arial" w:cs="Arial"/>
          <w:i/>
          <w:lang w:val="es-CR"/>
        </w:rPr>
      </w:pPr>
      <w:r w:rsidRPr="00FB0E4B">
        <w:rPr>
          <w:rFonts w:ascii="Arial" w:hAnsi="Arial" w:cs="Arial"/>
          <w:i/>
          <w:lang w:val="es-CR"/>
        </w:rPr>
        <w:t>Haberse distinguido por su trayectoria profesional o académica.</w:t>
      </w:r>
    </w:p>
    <w:p w:rsidR="00FB0E4B" w:rsidRPr="00FB0E4B" w:rsidRDefault="00FB0E4B" w:rsidP="00FB0E4B">
      <w:pPr>
        <w:ind w:left="851"/>
        <w:jc w:val="both"/>
        <w:rPr>
          <w:rFonts w:ascii="Arial" w:hAnsi="Arial" w:cs="Arial"/>
          <w:i/>
          <w:lang w:val="es-CR"/>
        </w:rPr>
      </w:pPr>
    </w:p>
    <w:p w:rsidR="00FB0E4B" w:rsidRPr="00FB0E4B" w:rsidRDefault="00FB0E4B" w:rsidP="00FB0E4B">
      <w:pPr>
        <w:ind w:left="851"/>
        <w:jc w:val="both"/>
        <w:rPr>
          <w:rFonts w:ascii="Arial" w:hAnsi="Arial" w:cs="Arial"/>
          <w:i/>
          <w:lang w:val="es-CR"/>
        </w:rPr>
      </w:pPr>
      <w:r w:rsidRPr="00FB0E4B">
        <w:rPr>
          <w:rFonts w:ascii="Arial" w:hAnsi="Arial" w:cs="Arial"/>
          <w:i/>
          <w:lang w:val="es-CR"/>
        </w:rPr>
        <w:t xml:space="preserve">La solicitud de nombramiento para la categoría de Profesor Invitado es aprobada por el Consejo de la instancia académica interesada, por votación afirmativa no menor a las dos terceras partes del total de sus miembros, previo informe de una comisión interna nombrada al efecto.  </w:t>
      </w:r>
    </w:p>
    <w:p w:rsidR="00FB0E4B" w:rsidRPr="00FB0E4B" w:rsidRDefault="00FB0E4B" w:rsidP="00FB0E4B">
      <w:pPr>
        <w:ind w:left="851"/>
        <w:jc w:val="both"/>
        <w:rPr>
          <w:rFonts w:ascii="Arial" w:hAnsi="Arial" w:cs="Arial"/>
          <w:i/>
          <w:lang w:val="es-CR"/>
        </w:rPr>
      </w:pPr>
      <w:r w:rsidRPr="00FB0E4B">
        <w:rPr>
          <w:rFonts w:ascii="Arial" w:hAnsi="Arial" w:cs="Arial"/>
          <w:i/>
          <w:lang w:val="es-CR"/>
        </w:rPr>
        <w:t xml:space="preserve">La designación de profesores invitados se hará teniendo clara la prevalencia de los profesores propietarios o interinos. </w:t>
      </w:r>
    </w:p>
    <w:p w:rsidR="00FB0E4B" w:rsidRPr="00FB0E4B" w:rsidRDefault="00FB0E4B" w:rsidP="00FB0E4B">
      <w:pPr>
        <w:ind w:left="851"/>
        <w:jc w:val="both"/>
        <w:rPr>
          <w:rFonts w:ascii="Arial" w:hAnsi="Arial" w:cs="Arial"/>
          <w:i/>
          <w:lang w:val="es-CR"/>
        </w:rPr>
      </w:pPr>
      <w:r w:rsidRPr="00FB0E4B">
        <w:rPr>
          <w:rFonts w:ascii="Arial" w:hAnsi="Arial" w:cs="Arial"/>
          <w:i/>
          <w:lang w:val="es-CR"/>
        </w:rPr>
        <w:t>El Rector dará la resolución final, una vez avalada por el Vicerrector de Investigación y Extensión o el Vicerrector de Docencia, dependiendo de la instancia académica solicitante.</w:t>
      </w:r>
    </w:p>
    <w:p w:rsidR="00FB0E4B" w:rsidRPr="00FB0E4B" w:rsidRDefault="00FB0E4B" w:rsidP="00FB0E4B">
      <w:pPr>
        <w:ind w:left="851"/>
        <w:jc w:val="both"/>
        <w:rPr>
          <w:rFonts w:ascii="Arial" w:hAnsi="Arial" w:cs="Arial"/>
          <w:i/>
          <w:lang w:val="es-CR"/>
        </w:rPr>
      </w:pPr>
    </w:p>
    <w:p w:rsidR="00FB0E4B" w:rsidRPr="00FB0E4B" w:rsidRDefault="00FB0E4B" w:rsidP="00FB0E4B">
      <w:pPr>
        <w:ind w:left="851"/>
        <w:jc w:val="center"/>
        <w:rPr>
          <w:rFonts w:ascii="Arial" w:hAnsi="Arial" w:cs="Arial"/>
          <w:b/>
          <w:i/>
          <w:szCs w:val="20"/>
          <w:lang w:val="es-CR"/>
        </w:rPr>
      </w:pPr>
      <w:r w:rsidRPr="00FB0E4B">
        <w:rPr>
          <w:rFonts w:ascii="Arial" w:hAnsi="Arial" w:cs="Arial"/>
          <w:b/>
          <w:i/>
          <w:szCs w:val="20"/>
          <w:lang w:val="es-CR"/>
        </w:rPr>
        <w:t>Capítulo III. Del periodo de nombramiento</w:t>
      </w:r>
    </w:p>
    <w:p w:rsidR="00FB0E4B" w:rsidRPr="00FB0E4B" w:rsidRDefault="00FB0E4B" w:rsidP="00FB0E4B">
      <w:pPr>
        <w:ind w:left="851"/>
        <w:jc w:val="center"/>
        <w:rPr>
          <w:rFonts w:ascii="Arial" w:hAnsi="Arial" w:cs="Arial"/>
          <w:b/>
          <w:i/>
          <w:szCs w:val="20"/>
          <w:lang w:val="es-CR"/>
        </w:rPr>
      </w:pPr>
    </w:p>
    <w:p w:rsidR="00FB0E4B" w:rsidRDefault="00FB0E4B" w:rsidP="00FB0E4B">
      <w:pPr>
        <w:ind w:left="851"/>
        <w:jc w:val="both"/>
        <w:rPr>
          <w:rFonts w:ascii="Arial" w:hAnsi="Arial" w:cs="Arial"/>
          <w:b/>
          <w:i/>
          <w:lang w:val="es-CR"/>
        </w:rPr>
      </w:pPr>
      <w:r w:rsidRPr="00FB0E4B">
        <w:rPr>
          <w:rFonts w:ascii="Arial" w:hAnsi="Arial" w:cs="Arial"/>
          <w:b/>
          <w:i/>
          <w:lang w:val="es-CR"/>
        </w:rPr>
        <w:t>Artículo 8.</w:t>
      </w:r>
      <w:r w:rsidRPr="00FB0E4B">
        <w:rPr>
          <w:rFonts w:ascii="Arial" w:hAnsi="Arial" w:cs="Arial"/>
          <w:b/>
          <w:i/>
          <w:lang w:val="es-CR"/>
        </w:rPr>
        <w:tab/>
        <w:t xml:space="preserve">Del profesor invitado </w:t>
      </w:r>
    </w:p>
    <w:p w:rsidR="00FB0E4B" w:rsidRPr="00FB0E4B" w:rsidRDefault="00FB0E4B" w:rsidP="00FB0E4B">
      <w:pPr>
        <w:ind w:left="851"/>
        <w:jc w:val="both"/>
        <w:rPr>
          <w:rFonts w:ascii="Arial" w:hAnsi="Arial" w:cs="Arial"/>
          <w:i/>
          <w:lang w:val="es-CR"/>
        </w:rPr>
      </w:pPr>
    </w:p>
    <w:p w:rsidR="00FB0E4B" w:rsidRPr="00FB0E4B" w:rsidRDefault="00FB0E4B" w:rsidP="00FB0E4B">
      <w:pPr>
        <w:ind w:left="851"/>
        <w:jc w:val="both"/>
        <w:rPr>
          <w:rFonts w:ascii="Arial" w:hAnsi="Arial" w:cs="Arial"/>
          <w:i/>
          <w:lang w:val="es-CR"/>
        </w:rPr>
      </w:pPr>
      <w:r w:rsidRPr="00FB0E4B">
        <w:rPr>
          <w:rFonts w:ascii="Arial" w:hAnsi="Arial" w:cs="Arial"/>
          <w:i/>
          <w:lang w:val="es-CR"/>
        </w:rPr>
        <w:t>El Profesor Invitado podrá ser nombrado por un período de dos años y se podrá prorrogar su nombramiento por única vez por un período igual.</w:t>
      </w:r>
    </w:p>
    <w:p w:rsidR="00FB0E4B" w:rsidRPr="00FB0E4B" w:rsidRDefault="00FB0E4B" w:rsidP="00FB0E4B">
      <w:pPr>
        <w:ind w:left="851"/>
        <w:jc w:val="both"/>
        <w:rPr>
          <w:rFonts w:ascii="Arial" w:hAnsi="Arial" w:cs="Arial"/>
          <w:i/>
          <w:lang w:val="es-CR"/>
        </w:rPr>
      </w:pPr>
      <w:r w:rsidRPr="00FB0E4B">
        <w:rPr>
          <w:rFonts w:ascii="Arial" w:hAnsi="Arial" w:cs="Arial"/>
          <w:i/>
          <w:lang w:val="es-CR"/>
        </w:rPr>
        <w:t>La condición de Profesor invitado no genera una relación laboral permanente con el ITCR, ni le brinda derecho de participar en los concursos internos para el nombramiento de personal; tampoco le faculta para participar en los órganos colegiados para la toma de decisiones correspondientes a la unidad académica en la que está colaborando.</w:t>
      </w:r>
    </w:p>
    <w:p w:rsidR="00FB0E4B" w:rsidRPr="00FB0E4B" w:rsidRDefault="00FB0E4B" w:rsidP="00FB0E4B">
      <w:pPr>
        <w:jc w:val="both"/>
        <w:rPr>
          <w:rFonts w:ascii="Arial" w:hAnsi="Arial" w:cs="Arial"/>
          <w:i/>
          <w:lang w:val="es-CR"/>
        </w:rPr>
      </w:pPr>
    </w:p>
    <w:p w:rsidR="00FB0E4B" w:rsidRPr="00FB0E4B" w:rsidRDefault="00FB0E4B" w:rsidP="00FB0E4B">
      <w:pPr>
        <w:ind w:left="851"/>
        <w:jc w:val="center"/>
        <w:rPr>
          <w:rFonts w:ascii="Arial" w:hAnsi="Arial" w:cs="Arial"/>
          <w:b/>
          <w:i/>
          <w:szCs w:val="20"/>
          <w:lang w:val="es-CR"/>
        </w:rPr>
      </w:pPr>
      <w:r w:rsidRPr="00FB0E4B">
        <w:rPr>
          <w:rFonts w:ascii="Arial" w:hAnsi="Arial" w:cs="Arial"/>
          <w:b/>
          <w:i/>
          <w:szCs w:val="20"/>
          <w:lang w:val="es-CR"/>
        </w:rPr>
        <w:t>Capítulo IV. De las características de las categorías</w:t>
      </w:r>
    </w:p>
    <w:p w:rsidR="00FB0E4B" w:rsidRPr="00FB0E4B" w:rsidRDefault="00FB0E4B" w:rsidP="00FB0E4B">
      <w:pPr>
        <w:ind w:left="851"/>
        <w:jc w:val="center"/>
        <w:rPr>
          <w:rFonts w:ascii="Arial" w:hAnsi="Arial" w:cs="Arial"/>
          <w:b/>
          <w:i/>
          <w:szCs w:val="20"/>
          <w:lang w:val="es-CR"/>
        </w:rPr>
      </w:pPr>
    </w:p>
    <w:p w:rsidR="00FB0E4B" w:rsidRPr="00FB0E4B" w:rsidRDefault="00FB0E4B" w:rsidP="00FB0E4B">
      <w:pPr>
        <w:ind w:left="851"/>
        <w:jc w:val="both"/>
        <w:rPr>
          <w:rFonts w:ascii="Arial" w:hAnsi="Arial" w:cs="Arial"/>
          <w:b/>
          <w:i/>
          <w:lang w:val="es-CR"/>
        </w:rPr>
      </w:pPr>
      <w:r w:rsidRPr="00FB0E4B">
        <w:rPr>
          <w:rFonts w:ascii="Arial" w:hAnsi="Arial" w:cs="Arial"/>
          <w:b/>
          <w:i/>
          <w:lang w:val="es-CR"/>
        </w:rPr>
        <w:t>Artículo 9.</w:t>
      </w:r>
      <w:r w:rsidRPr="00FB0E4B">
        <w:rPr>
          <w:rFonts w:ascii="Arial" w:hAnsi="Arial" w:cs="Arial"/>
          <w:b/>
          <w:i/>
          <w:lang w:val="es-CR"/>
        </w:rPr>
        <w:tab/>
        <w:t xml:space="preserve">De la retribución </w:t>
      </w:r>
    </w:p>
    <w:p w:rsidR="00FB0E4B" w:rsidRPr="00FB0E4B" w:rsidRDefault="00FB0E4B" w:rsidP="00FB0E4B">
      <w:pPr>
        <w:ind w:left="851"/>
        <w:jc w:val="both"/>
        <w:rPr>
          <w:rFonts w:ascii="Arial" w:hAnsi="Arial" w:cs="Arial"/>
          <w:i/>
          <w:lang w:val="es-CR"/>
        </w:rPr>
      </w:pPr>
    </w:p>
    <w:p w:rsidR="00FB0E4B" w:rsidRPr="00FB0E4B" w:rsidRDefault="00FB0E4B" w:rsidP="00FB0E4B">
      <w:pPr>
        <w:ind w:left="851"/>
        <w:jc w:val="both"/>
        <w:rPr>
          <w:rFonts w:ascii="Arial" w:hAnsi="Arial" w:cs="Arial"/>
          <w:i/>
          <w:lang w:val="es-CR" w:eastAsia="es-CR"/>
        </w:rPr>
      </w:pPr>
      <w:r w:rsidRPr="00FB0E4B">
        <w:rPr>
          <w:rFonts w:ascii="Arial" w:hAnsi="Arial" w:cs="Arial"/>
          <w:i/>
          <w:lang w:val="es-CR" w:eastAsia="es-CR"/>
        </w:rPr>
        <w:t>La retribución está regulada de la siguiente manera:</w:t>
      </w:r>
    </w:p>
    <w:p w:rsidR="00FB0E4B" w:rsidRPr="00FB0E4B" w:rsidRDefault="00FB0E4B" w:rsidP="00FB0E4B">
      <w:pPr>
        <w:numPr>
          <w:ilvl w:val="0"/>
          <w:numId w:val="33"/>
        </w:numPr>
        <w:jc w:val="both"/>
        <w:rPr>
          <w:rFonts w:ascii="Arial" w:hAnsi="Arial" w:cs="Arial"/>
          <w:i/>
          <w:lang w:val="es-CR" w:eastAsia="es-CR"/>
        </w:rPr>
      </w:pPr>
      <w:r w:rsidRPr="00FB0E4B">
        <w:rPr>
          <w:rFonts w:ascii="Arial" w:hAnsi="Arial" w:cs="Arial"/>
          <w:i/>
          <w:lang w:val="es-CR" w:eastAsia="es-CR"/>
        </w:rPr>
        <w:t xml:space="preserve">Quien ostente la categoría de doctorado honoris causa, profesor honorario o profesor emérito, no recibirá retribución por parte del ITCR. </w:t>
      </w:r>
    </w:p>
    <w:p w:rsidR="00FB0E4B" w:rsidRPr="00FB0E4B" w:rsidRDefault="00FB0E4B" w:rsidP="00FB0E4B">
      <w:pPr>
        <w:numPr>
          <w:ilvl w:val="0"/>
          <w:numId w:val="33"/>
        </w:numPr>
        <w:jc w:val="both"/>
        <w:rPr>
          <w:rFonts w:ascii="Arial" w:hAnsi="Arial" w:cs="Arial"/>
          <w:i/>
          <w:lang w:val="es-CR" w:eastAsia="es-CR"/>
        </w:rPr>
      </w:pPr>
      <w:r w:rsidRPr="00FB0E4B">
        <w:rPr>
          <w:rFonts w:ascii="Arial" w:hAnsi="Arial" w:cs="Arial"/>
          <w:i/>
          <w:lang w:val="es-CR" w:eastAsia="es-CR"/>
        </w:rPr>
        <w:t>La retribución de quien ostente la categoría de Profesor invitado, será definida de conformidad con lo establecido al efecto en las Normas de Contratación y Remuneración del Personal del Instituto Tecnológico de Costa Rica, considerando la ubicación en el escalafón profesional que corresponda de acuerdo con la evaluación de sus atestados.  Para estos efectos, en caso necesario, los títulos académicos que presenten se les considerarán como equiparados por una institución de educación superior universitaria estatal.  La contratación de los Profesores Invitados se plasmará mediante la firma de un contrato.</w:t>
      </w:r>
    </w:p>
    <w:p w:rsidR="00FB0E4B" w:rsidRPr="00FB0E4B" w:rsidRDefault="00FB0E4B" w:rsidP="00FB0E4B">
      <w:pPr>
        <w:ind w:left="851"/>
        <w:jc w:val="both"/>
        <w:rPr>
          <w:rFonts w:ascii="Arial" w:hAnsi="Arial" w:cs="Arial"/>
          <w:i/>
          <w:lang w:val="es-CR" w:eastAsia="es-CR"/>
        </w:rPr>
      </w:pPr>
    </w:p>
    <w:p w:rsidR="00FB0E4B" w:rsidRPr="00FB0E4B" w:rsidRDefault="00FB0E4B" w:rsidP="00FB0E4B">
      <w:pPr>
        <w:ind w:left="851"/>
        <w:jc w:val="both"/>
        <w:rPr>
          <w:rFonts w:ascii="Arial" w:hAnsi="Arial" w:cs="Arial"/>
          <w:b/>
          <w:i/>
          <w:lang w:val="es-CR" w:eastAsia="es-CR"/>
        </w:rPr>
      </w:pPr>
      <w:r w:rsidRPr="00FB0E4B">
        <w:rPr>
          <w:rFonts w:ascii="Arial" w:hAnsi="Arial" w:cs="Arial"/>
          <w:b/>
          <w:i/>
          <w:lang w:val="es-CR" w:eastAsia="es-CR"/>
        </w:rPr>
        <w:t xml:space="preserve">Artículo 10. </w:t>
      </w:r>
      <w:r w:rsidRPr="00FB0E4B">
        <w:rPr>
          <w:rFonts w:ascii="Arial" w:hAnsi="Arial" w:cs="Arial"/>
          <w:b/>
          <w:i/>
          <w:lang w:val="es-CR" w:eastAsia="es-CR"/>
        </w:rPr>
        <w:tab/>
        <w:t xml:space="preserve">De la participación </w:t>
      </w:r>
    </w:p>
    <w:p w:rsidR="00FB0E4B" w:rsidRPr="00FB0E4B" w:rsidRDefault="00FB0E4B" w:rsidP="00FB0E4B">
      <w:pPr>
        <w:ind w:left="851"/>
        <w:jc w:val="both"/>
        <w:rPr>
          <w:rFonts w:ascii="Arial" w:hAnsi="Arial" w:cs="Arial"/>
          <w:b/>
          <w:i/>
          <w:lang w:val="es-CR" w:eastAsia="es-CR"/>
        </w:rPr>
      </w:pPr>
    </w:p>
    <w:p w:rsidR="00FB0E4B" w:rsidRPr="00FB0E4B" w:rsidRDefault="00FB0E4B" w:rsidP="00FB0E4B">
      <w:pPr>
        <w:ind w:left="851"/>
        <w:jc w:val="both"/>
        <w:rPr>
          <w:rFonts w:ascii="Arial" w:hAnsi="Arial" w:cs="Arial"/>
          <w:i/>
          <w:lang w:val="es-CR"/>
        </w:rPr>
      </w:pPr>
      <w:r w:rsidRPr="00FB0E4B">
        <w:rPr>
          <w:rFonts w:ascii="Arial" w:hAnsi="Arial" w:cs="Arial"/>
          <w:i/>
          <w:lang w:val="es-CR"/>
        </w:rPr>
        <w:t>Sobre la participación de quienes obtengan estas categorías:</w:t>
      </w:r>
    </w:p>
    <w:p w:rsidR="00FB0E4B" w:rsidRPr="00FB0E4B" w:rsidRDefault="00FB0E4B" w:rsidP="00FB0E4B">
      <w:pPr>
        <w:numPr>
          <w:ilvl w:val="0"/>
          <w:numId w:val="34"/>
        </w:numPr>
        <w:jc w:val="both"/>
        <w:rPr>
          <w:rFonts w:ascii="Arial" w:hAnsi="Arial" w:cs="Arial"/>
          <w:i/>
          <w:lang w:val="es-CR"/>
        </w:rPr>
      </w:pPr>
      <w:r w:rsidRPr="00FB0E4B">
        <w:rPr>
          <w:rFonts w:ascii="Arial" w:hAnsi="Arial" w:cs="Arial"/>
          <w:i/>
          <w:lang w:val="es-CR"/>
        </w:rPr>
        <w:t>Quien ostente la categoría de doctorado honoris causa, profesor honorario o profesor emérito, podrá participar en actividades académicas del ITCR, más no podrá formar parte de ningún órgano colegiado de la Institución.</w:t>
      </w:r>
    </w:p>
    <w:p w:rsidR="00FB0E4B" w:rsidRPr="00FB0E4B" w:rsidRDefault="00FB0E4B" w:rsidP="00FB0E4B">
      <w:pPr>
        <w:numPr>
          <w:ilvl w:val="0"/>
          <w:numId w:val="34"/>
        </w:numPr>
        <w:jc w:val="both"/>
        <w:rPr>
          <w:rFonts w:ascii="Arial" w:hAnsi="Arial" w:cs="Arial"/>
          <w:i/>
          <w:lang w:val="es-CR"/>
        </w:rPr>
      </w:pPr>
      <w:r w:rsidRPr="00FB0E4B">
        <w:rPr>
          <w:rFonts w:ascii="Arial" w:hAnsi="Arial" w:cs="Arial"/>
          <w:i/>
          <w:lang w:val="es-CR"/>
        </w:rPr>
        <w:t xml:space="preserve">La cantidad de profesores nombrados en las categorías de Profesor Honorario y Profesor Emérito, no deberá sobrepasar el 25% de los profesores que integran la instancia académica. </w:t>
      </w:r>
    </w:p>
    <w:p w:rsidR="00FB0E4B" w:rsidRDefault="00FB0E4B" w:rsidP="00FB0E4B">
      <w:pPr>
        <w:numPr>
          <w:ilvl w:val="0"/>
          <w:numId w:val="34"/>
        </w:numPr>
        <w:jc w:val="both"/>
        <w:rPr>
          <w:rFonts w:ascii="Arial" w:hAnsi="Arial" w:cs="Arial"/>
          <w:i/>
          <w:lang w:val="es-CR"/>
        </w:rPr>
      </w:pPr>
      <w:r w:rsidRPr="00FB0E4B">
        <w:rPr>
          <w:rFonts w:ascii="Arial" w:hAnsi="Arial" w:cs="Arial"/>
          <w:i/>
          <w:lang w:val="es-CR"/>
        </w:rPr>
        <w:t>El Profesor Invitado podrá participar en actividades académicas del ITCR, más no podrá formar parte de ningún órgano colegiado de la Institución.</w:t>
      </w:r>
    </w:p>
    <w:p w:rsidR="00BE3069" w:rsidRDefault="00BE3069" w:rsidP="00BE3069">
      <w:pPr>
        <w:jc w:val="both"/>
        <w:rPr>
          <w:rFonts w:ascii="Arial" w:hAnsi="Arial" w:cs="Arial"/>
          <w:i/>
          <w:lang w:val="es-CR"/>
        </w:rPr>
      </w:pPr>
    </w:p>
    <w:p w:rsidR="00BE3069" w:rsidRDefault="00BE3069" w:rsidP="00BE3069">
      <w:pPr>
        <w:jc w:val="both"/>
        <w:rPr>
          <w:rFonts w:ascii="Arial" w:hAnsi="Arial" w:cs="Arial"/>
          <w:i/>
          <w:lang w:val="es-CR"/>
        </w:rPr>
      </w:pPr>
    </w:p>
    <w:p w:rsidR="00BE3069" w:rsidRPr="00FB0E4B" w:rsidRDefault="00BE3069" w:rsidP="00BE3069">
      <w:pPr>
        <w:jc w:val="both"/>
        <w:rPr>
          <w:rFonts w:ascii="Arial" w:hAnsi="Arial" w:cs="Arial"/>
          <w:i/>
          <w:lang w:val="es-CR"/>
        </w:rPr>
      </w:pPr>
    </w:p>
    <w:p w:rsidR="00FB0E4B" w:rsidRPr="00FB0E4B" w:rsidRDefault="00FB0E4B" w:rsidP="00FB0E4B">
      <w:pPr>
        <w:ind w:left="851"/>
        <w:jc w:val="both"/>
        <w:rPr>
          <w:rFonts w:ascii="Arial" w:hAnsi="Arial" w:cs="Arial"/>
          <w:i/>
          <w:lang w:val="es-CR"/>
        </w:rPr>
      </w:pPr>
    </w:p>
    <w:p w:rsidR="00FB0E4B" w:rsidRPr="00FB0E4B" w:rsidRDefault="00FB0E4B" w:rsidP="00FB0E4B">
      <w:pPr>
        <w:ind w:left="851"/>
        <w:jc w:val="both"/>
        <w:rPr>
          <w:rFonts w:ascii="Arial" w:hAnsi="Arial" w:cs="Arial"/>
          <w:b/>
          <w:i/>
          <w:lang w:val="es-CR"/>
        </w:rPr>
      </w:pPr>
      <w:r w:rsidRPr="00FB0E4B">
        <w:rPr>
          <w:rFonts w:ascii="Arial" w:hAnsi="Arial" w:cs="Arial"/>
          <w:b/>
          <w:i/>
          <w:lang w:val="es-CR"/>
        </w:rPr>
        <w:t xml:space="preserve">Artículo 11. </w:t>
      </w:r>
      <w:r w:rsidRPr="00FB0E4B">
        <w:rPr>
          <w:rFonts w:ascii="Arial" w:hAnsi="Arial" w:cs="Arial"/>
          <w:b/>
          <w:i/>
          <w:lang w:val="es-CR"/>
        </w:rPr>
        <w:tab/>
        <w:t xml:space="preserve">De los deberes </w:t>
      </w:r>
    </w:p>
    <w:p w:rsidR="00FB0E4B" w:rsidRPr="00FB0E4B" w:rsidRDefault="00FB0E4B" w:rsidP="00FB0E4B">
      <w:pPr>
        <w:ind w:left="851"/>
        <w:jc w:val="both"/>
        <w:rPr>
          <w:rFonts w:ascii="Arial" w:hAnsi="Arial" w:cs="Arial"/>
          <w:b/>
          <w:i/>
          <w:lang w:val="es-CR"/>
        </w:rPr>
      </w:pPr>
    </w:p>
    <w:p w:rsidR="00FB0E4B" w:rsidRPr="00FB0E4B" w:rsidRDefault="00FB0E4B" w:rsidP="00FB0E4B">
      <w:pPr>
        <w:ind w:left="851"/>
        <w:jc w:val="both"/>
        <w:rPr>
          <w:rFonts w:ascii="Arial" w:hAnsi="Arial" w:cs="Arial"/>
          <w:i/>
          <w:lang w:val="es-CR"/>
        </w:rPr>
      </w:pPr>
      <w:r w:rsidRPr="00FB0E4B">
        <w:rPr>
          <w:rFonts w:ascii="Arial" w:hAnsi="Arial" w:cs="Arial"/>
          <w:i/>
          <w:lang w:val="es-CR"/>
        </w:rPr>
        <w:t>Las personas incluidas en alguna de las categorías de este reglamento deberán cumplir en el desempeño de sus funciones con las normas y regulaciones institucionales establecidas.</w:t>
      </w:r>
    </w:p>
    <w:p w:rsidR="00FB0E4B" w:rsidRPr="00FB0E4B" w:rsidRDefault="00FB0E4B" w:rsidP="00FB0E4B">
      <w:pPr>
        <w:ind w:left="851"/>
        <w:jc w:val="both"/>
        <w:rPr>
          <w:rFonts w:ascii="Arial" w:hAnsi="Arial" w:cs="Arial"/>
          <w:i/>
          <w:lang w:val="es-CR"/>
        </w:rPr>
      </w:pPr>
    </w:p>
    <w:p w:rsidR="00FB0E4B" w:rsidRPr="00FB0E4B" w:rsidRDefault="00FB0E4B" w:rsidP="00FB0E4B">
      <w:pPr>
        <w:ind w:left="851"/>
        <w:jc w:val="center"/>
        <w:rPr>
          <w:rFonts w:ascii="Arial" w:hAnsi="Arial" w:cs="Arial"/>
          <w:b/>
          <w:i/>
          <w:szCs w:val="20"/>
          <w:lang w:val="es-CR"/>
        </w:rPr>
      </w:pPr>
      <w:r w:rsidRPr="00FB0E4B">
        <w:rPr>
          <w:rFonts w:ascii="Arial" w:hAnsi="Arial" w:cs="Arial"/>
          <w:b/>
          <w:i/>
          <w:szCs w:val="20"/>
          <w:lang w:val="es-CR"/>
        </w:rPr>
        <w:t>Capítulo IV. Disposiciones finales</w:t>
      </w:r>
    </w:p>
    <w:p w:rsidR="00FB0E4B" w:rsidRPr="00FB0E4B" w:rsidRDefault="00FB0E4B" w:rsidP="00FB0E4B">
      <w:pPr>
        <w:jc w:val="both"/>
        <w:rPr>
          <w:rFonts w:ascii="Arial" w:hAnsi="Arial" w:cs="Arial"/>
          <w:b/>
          <w:i/>
          <w:lang w:val="es-CR"/>
        </w:rPr>
      </w:pPr>
    </w:p>
    <w:p w:rsidR="00FB0E4B" w:rsidRPr="00FB0E4B" w:rsidRDefault="00FB0E4B" w:rsidP="00FB0E4B">
      <w:pPr>
        <w:ind w:left="851"/>
        <w:jc w:val="both"/>
        <w:rPr>
          <w:rFonts w:ascii="Arial" w:hAnsi="Arial" w:cs="Arial"/>
          <w:b/>
          <w:i/>
          <w:lang w:val="es-CR"/>
        </w:rPr>
      </w:pPr>
      <w:r w:rsidRPr="00FB0E4B">
        <w:rPr>
          <w:rFonts w:ascii="Arial" w:hAnsi="Arial" w:cs="Arial"/>
          <w:b/>
          <w:i/>
          <w:lang w:val="es-CR"/>
        </w:rPr>
        <w:t xml:space="preserve">Artículo 12. </w:t>
      </w:r>
      <w:r w:rsidRPr="00FB0E4B">
        <w:rPr>
          <w:rFonts w:ascii="Arial" w:hAnsi="Arial" w:cs="Arial"/>
          <w:b/>
          <w:i/>
          <w:lang w:val="es-CR"/>
        </w:rPr>
        <w:tab/>
        <w:t>De la vigencia</w:t>
      </w:r>
    </w:p>
    <w:p w:rsidR="00FB0E4B" w:rsidRPr="00FB0E4B" w:rsidRDefault="00FB0E4B" w:rsidP="00FB0E4B">
      <w:pPr>
        <w:ind w:left="851"/>
        <w:jc w:val="both"/>
        <w:rPr>
          <w:rFonts w:ascii="Arial" w:hAnsi="Arial" w:cs="Arial"/>
          <w:b/>
          <w:i/>
          <w:lang w:val="es-CR"/>
        </w:rPr>
      </w:pPr>
    </w:p>
    <w:p w:rsidR="00FB0E4B" w:rsidRPr="00FB0E4B" w:rsidRDefault="00FB0E4B" w:rsidP="00FB0E4B">
      <w:pPr>
        <w:ind w:left="851"/>
        <w:jc w:val="both"/>
        <w:rPr>
          <w:rFonts w:ascii="Arial" w:hAnsi="Arial" w:cs="Arial"/>
          <w:i/>
          <w:lang w:val="es-CR"/>
        </w:rPr>
      </w:pPr>
      <w:r w:rsidRPr="00FB0E4B">
        <w:rPr>
          <w:rFonts w:ascii="Arial" w:hAnsi="Arial" w:cs="Arial"/>
          <w:i/>
          <w:lang w:val="es-CR"/>
        </w:rPr>
        <w:t>Este reglamento deroga la Normativa para otorgar categorías honoríficas, aprobadas por el Consejo Institucional, en las sesiones Nos. 1531, Artículo 10 y 1535, Artículo 6, celebradas el 22 de marzo y 26 de abril, 1990. Publicadas en la Gaceta Institucional 47.</w:t>
      </w:r>
    </w:p>
    <w:p w:rsidR="001A685C" w:rsidRPr="00E53665" w:rsidRDefault="001A685C" w:rsidP="007742A1">
      <w:pPr>
        <w:jc w:val="both"/>
        <w:rPr>
          <w:rFonts w:ascii="Arial" w:eastAsia="Cambria" w:hAnsi="Arial" w:cs="Arial"/>
          <w:sz w:val="22"/>
          <w:szCs w:val="22"/>
          <w:lang w:val="es-ES_tradnl" w:eastAsia="en-US"/>
        </w:rPr>
      </w:pPr>
    </w:p>
    <w:p w:rsidR="009E28A0" w:rsidRPr="00E53665" w:rsidRDefault="00BB6A5E" w:rsidP="00FB0E4B">
      <w:pPr>
        <w:numPr>
          <w:ilvl w:val="0"/>
          <w:numId w:val="27"/>
        </w:numPr>
        <w:ind w:left="426" w:hanging="426"/>
        <w:contextualSpacing/>
        <w:jc w:val="both"/>
        <w:rPr>
          <w:rFonts w:ascii="Arial" w:hAnsi="Arial" w:cs="Arial"/>
          <w:b/>
          <w:sz w:val="22"/>
          <w:szCs w:val="22"/>
          <w:lang w:val="es-CR"/>
        </w:rPr>
      </w:pPr>
      <w:r w:rsidRPr="00E53665">
        <w:rPr>
          <w:rFonts w:ascii="Arial" w:eastAsia="Cambria" w:hAnsi="Arial" w:cs="Arial"/>
          <w:sz w:val="22"/>
          <w:szCs w:val="22"/>
          <w:lang w:eastAsia="en-US"/>
        </w:rPr>
        <w:t>Comunicar</w:t>
      </w:r>
      <w:r w:rsidRPr="00E53665">
        <w:rPr>
          <w:rFonts w:ascii="Arial" w:hAnsi="Arial" w:cs="Arial"/>
          <w:sz w:val="22"/>
          <w:szCs w:val="22"/>
          <w:lang w:val="es-CR"/>
        </w:rPr>
        <w:t xml:space="preserve">. </w:t>
      </w:r>
      <w:r w:rsidRPr="00E53665">
        <w:rPr>
          <w:rFonts w:ascii="Arial" w:hAnsi="Arial" w:cs="Arial"/>
          <w:b/>
          <w:sz w:val="22"/>
          <w:szCs w:val="22"/>
          <w:lang w:val="es-CR"/>
        </w:rPr>
        <w:t xml:space="preserve"> </w:t>
      </w:r>
      <w:r w:rsidR="00E53665" w:rsidRPr="00E53665">
        <w:rPr>
          <w:rFonts w:ascii="Arial" w:hAnsi="Arial" w:cs="Arial"/>
          <w:b/>
          <w:sz w:val="22"/>
          <w:szCs w:val="22"/>
          <w:lang w:val="es-CR"/>
        </w:rPr>
        <w:t>ACUERDO FIRME.</w:t>
      </w:r>
    </w:p>
    <w:p w:rsidR="005166A5" w:rsidRPr="00E53665" w:rsidRDefault="005166A5" w:rsidP="005166A5">
      <w:pPr>
        <w:tabs>
          <w:tab w:val="center" w:pos="4986"/>
        </w:tabs>
        <w:ind w:right="281"/>
        <w:contextualSpacing/>
        <w:jc w:val="both"/>
        <w:outlineLvl w:val="0"/>
        <w:rPr>
          <w:rFonts w:ascii="Arial" w:hAnsi="Arial" w:cs="Arial"/>
          <w:b/>
          <w:sz w:val="22"/>
          <w:szCs w:val="22"/>
          <w:lang w:val="es-CR"/>
        </w:rPr>
      </w:pPr>
    </w:p>
    <w:p w:rsidR="00CC24EB" w:rsidRDefault="00CC24EB" w:rsidP="00CC24EB">
      <w:pPr>
        <w:rPr>
          <w:rFonts w:ascii="Arial" w:hAnsi="Arial" w:cs="Arial"/>
          <w:b/>
          <w:lang w:val="es-CR"/>
        </w:rPr>
      </w:pPr>
    </w:p>
    <w:p w:rsidR="00FB0E4B" w:rsidRPr="00FB0E4B" w:rsidRDefault="00FB0E4B" w:rsidP="00FB0E4B">
      <w:pPr>
        <w:jc w:val="both"/>
        <w:rPr>
          <w:rFonts w:ascii="Arial" w:hAnsi="Arial" w:cs="Arial"/>
          <w:b/>
          <w:sz w:val="22"/>
          <w:szCs w:val="22"/>
          <w:lang w:val="es-CR"/>
        </w:rPr>
      </w:pPr>
      <w:r w:rsidRPr="00FB0E4B">
        <w:rPr>
          <w:rFonts w:ascii="Arial" w:hAnsi="Arial" w:cs="Arial"/>
          <w:b/>
          <w:sz w:val="22"/>
          <w:szCs w:val="22"/>
          <w:lang w:val="es-CR"/>
        </w:rPr>
        <w:t>Palabras Clave:  Consulta- AFITEC- Comunidad Institucional –Reglamento- Categorías-Honoríficas</w:t>
      </w:r>
    </w:p>
    <w:p w:rsidR="005166A5" w:rsidRPr="00FB0E4B" w:rsidRDefault="005166A5" w:rsidP="005166A5">
      <w:pPr>
        <w:tabs>
          <w:tab w:val="center" w:pos="4986"/>
        </w:tabs>
        <w:ind w:right="281"/>
        <w:contextualSpacing/>
        <w:jc w:val="both"/>
        <w:outlineLvl w:val="0"/>
        <w:rPr>
          <w:rFonts w:ascii="Arial" w:hAnsi="Arial" w:cs="Arial"/>
          <w:b/>
          <w:lang w:val="es-CR"/>
        </w:rPr>
      </w:pPr>
    </w:p>
    <w:p w:rsidR="00CC24EB" w:rsidRDefault="00CC24EB" w:rsidP="005166A5">
      <w:pPr>
        <w:tabs>
          <w:tab w:val="center" w:pos="4986"/>
        </w:tabs>
        <w:ind w:right="281"/>
        <w:contextualSpacing/>
        <w:jc w:val="both"/>
        <w:outlineLvl w:val="0"/>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F3" w:rsidRDefault="007742F3">
      <w:r>
        <w:separator/>
      </w:r>
    </w:p>
  </w:endnote>
  <w:endnote w:type="continuationSeparator" w:id="0">
    <w:p w:rsidR="007742F3" w:rsidRDefault="0077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F3" w:rsidRDefault="007742F3">
      <w:r>
        <w:separator/>
      </w:r>
    </w:p>
  </w:footnote>
  <w:footnote w:type="continuationSeparator" w:id="0">
    <w:p w:rsidR="007742F3" w:rsidRDefault="0077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6F356C">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6F356C">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F356C">
      <w:rPr>
        <w:rFonts w:ascii="Arial" w:eastAsia="Cambria" w:hAnsi="Arial" w:cs="Arial"/>
        <w:i/>
        <w:sz w:val="18"/>
        <w:szCs w:val="18"/>
        <w:lang w:val="es-ES_tradnl" w:eastAsia="x-none"/>
      </w:rPr>
      <w:t>05</w:t>
    </w:r>
    <w:r>
      <w:rPr>
        <w:rFonts w:ascii="Arial" w:eastAsia="Cambria" w:hAnsi="Arial" w:cs="Arial"/>
        <w:i/>
        <w:sz w:val="18"/>
        <w:szCs w:val="18"/>
        <w:lang w:val="es-ES_tradnl" w:eastAsia="x-none"/>
      </w:rPr>
      <w:t xml:space="preserve"> de </w:t>
    </w:r>
    <w:r w:rsidR="006F356C">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E426C">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00"/>
    <w:multiLevelType w:val="hybridMultilevel"/>
    <w:tmpl w:val="929043E2"/>
    <w:lvl w:ilvl="0" w:tplc="FFFFFFF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BD5A94"/>
    <w:multiLevelType w:val="hybridMultilevel"/>
    <w:tmpl w:val="18FE4442"/>
    <w:lvl w:ilvl="0" w:tplc="05722CF2">
      <w:start w:val="1"/>
      <w:numFmt w:val="decimal"/>
      <w:lvlText w:val="%1."/>
      <w:lvlJc w:val="left"/>
      <w:pPr>
        <w:ind w:left="720" w:hanging="360"/>
      </w:pPr>
      <w:rPr>
        <w:rFonts w:ascii="Arial" w:hAnsi="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D47674"/>
    <w:multiLevelType w:val="hybridMultilevel"/>
    <w:tmpl w:val="34FE7F12"/>
    <w:lvl w:ilvl="0" w:tplc="76B2EC0E">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775810"/>
    <w:multiLevelType w:val="hybridMultilevel"/>
    <w:tmpl w:val="B6DCB73C"/>
    <w:lvl w:ilvl="0" w:tplc="087A9770">
      <w:start w:val="1"/>
      <w:numFmt w:val="decimal"/>
      <w:lvlText w:val="%1."/>
      <w:lvlJc w:val="left"/>
      <w:pPr>
        <w:ind w:left="720" w:hanging="360"/>
      </w:pPr>
      <w:rPr>
        <w:rFonts w:ascii="Arial" w:hAnsi="Arial" w:cs="Arial" w:hint="default"/>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FB00958"/>
    <w:multiLevelType w:val="hybridMultilevel"/>
    <w:tmpl w:val="628C0B66"/>
    <w:lvl w:ilvl="0" w:tplc="AC1E830C">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C963F1"/>
    <w:multiLevelType w:val="hybridMultilevel"/>
    <w:tmpl w:val="F35E0048"/>
    <w:lvl w:ilvl="0" w:tplc="61DA4F86">
      <w:start w:val="1"/>
      <w:numFmt w:val="decimal"/>
      <w:lvlText w:val="%1."/>
      <w:lvlJc w:val="left"/>
      <w:pPr>
        <w:ind w:left="720" w:hanging="360"/>
      </w:pPr>
      <w:rPr>
        <w:rFonts w:ascii="Arial" w:hAnsi="Arial" w:cs="Arial" w:hint="default"/>
        <w:i w:val="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6417A9B"/>
    <w:multiLevelType w:val="hybridMultilevel"/>
    <w:tmpl w:val="D994AA7E"/>
    <w:lvl w:ilvl="0" w:tplc="140A0003">
      <w:start w:val="1"/>
      <w:numFmt w:val="bullet"/>
      <w:lvlText w:val="o"/>
      <w:lvlJc w:val="left"/>
      <w:pPr>
        <w:ind w:left="1571" w:hanging="360"/>
      </w:pPr>
      <w:rPr>
        <w:rFonts w:ascii="Courier New" w:hAnsi="Courier New" w:cs="Courier New"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0"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6F65789"/>
    <w:multiLevelType w:val="hybridMultilevel"/>
    <w:tmpl w:val="1F729B2A"/>
    <w:lvl w:ilvl="0" w:tplc="D31EBB46">
      <w:start w:val="1"/>
      <w:numFmt w:val="decimal"/>
      <w:lvlText w:val="%1."/>
      <w:lvlJc w:val="left"/>
      <w:pPr>
        <w:ind w:left="1068" w:hanging="360"/>
      </w:pPr>
      <w:rPr>
        <w:rFonts w:eastAsia="Cambria" w:hint="default"/>
        <w:color w:val="00000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1D1E7E"/>
    <w:multiLevelType w:val="hybridMultilevel"/>
    <w:tmpl w:val="1604022A"/>
    <w:lvl w:ilvl="0" w:tplc="140A0003">
      <w:start w:val="1"/>
      <w:numFmt w:val="bullet"/>
      <w:lvlText w:val="o"/>
      <w:lvlJc w:val="left"/>
      <w:pPr>
        <w:ind w:left="1571" w:hanging="360"/>
      </w:pPr>
      <w:rPr>
        <w:rFonts w:ascii="Courier New" w:hAnsi="Courier New" w:cs="Courier New"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5" w15:restartNumberingAfterBreak="0">
    <w:nsid w:val="30B268D2"/>
    <w:multiLevelType w:val="hybridMultilevel"/>
    <w:tmpl w:val="79F2D682"/>
    <w:lvl w:ilvl="0" w:tplc="59FA1F96">
      <w:start w:val="1"/>
      <w:numFmt w:val="decimal"/>
      <w:lvlText w:val="%1."/>
      <w:lvlJc w:val="left"/>
      <w:pPr>
        <w:ind w:left="720"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852E90"/>
    <w:multiLevelType w:val="hybridMultilevel"/>
    <w:tmpl w:val="A6A0BFE4"/>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40A12ED1"/>
    <w:multiLevelType w:val="hybridMultilevel"/>
    <w:tmpl w:val="660092A6"/>
    <w:lvl w:ilvl="0" w:tplc="09FC884C">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8" w15:restartNumberingAfterBreak="0">
    <w:nsid w:val="40FD7938"/>
    <w:multiLevelType w:val="hybridMultilevel"/>
    <w:tmpl w:val="3EFA9258"/>
    <w:lvl w:ilvl="0" w:tplc="52ACFD44">
      <w:start w:val="1"/>
      <w:numFmt w:val="decimal"/>
      <w:lvlText w:val="%1."/>
      <w:lvlJc w:val="left"/>
      <w:pPr>
        <w:ind w:left="1440" w:hanging="360"/>
      </w:pPr>
      <w:rPr>
        <w:sz w:val="20"/>
        <w:szCs w:val="2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384D1B"/>
    <w:multiLevelType w:val="hybridMultilevel"/>
    <w:tmpl w:val="06702F26"/>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3" w15:restartNumberingAfterBreak="0">
    <w:nsid w:val="52FC65D4"/>
    <w:multiLevelType w:val="hybridMultilevel"/>
    <w:tmpl w:val="31088EC6"/>
    <w:lvl w:ilvl="0" w:tplc="E2A219D4">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59175B5"/>
    <w:multiLevelType w:val="hybridMultilevel"/>
    <w:tmpl w:val="226A9DF2"/>
    <w:lvl w:ilvl="0" w:tplc="D186BE14">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7DC54EA"/>
    <w:multiLevelType w:val="hybridMultilevel"/>
    <w:tmpl w:val="D3B6881C"/>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7" w15:restartNumberingAfterBreak="0">
    <w:nsid w:val="59874C8D"/>
    <w:multiLevelType w:val="hybridMultilevel"/>
    <w:tmpl w:val="06702F26"/>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8" w15:restartNumberingAfterBreak="0">
    <w:nsid w:val="616F2F43"/>
    <w:multiLevelType w:val="hybridMultilevel"/>
    <w:tmpl w:val="27FEAA32"/>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041926"/>
    <w:multiLevelType w:val="hybridMultilevel"/>
    <w:tmpl w:val="7B5C1260"/>
    <w:lvl w:ilvl="0" w:tplc="40C8CE5A">
      <w:start w:val="1"/>
      <w:numFmt w:val="decimal"/>
      <w:lvlText w:val="%1."/>
      <w:lvlJc w:val="left"/>
      <w:pPr>
        <w:ind w:left="720" w:hanging="360"/>
      </w:pPr>
      <w:rPr>
        <w:rFonts w:ascii="Arial" w:hAnsi="Arial" w:cs="Arial"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D77463F"/>
    <w:multiLevelType w:val="hybridMultilevel"/>
    <w:tmpl w:val="9528A926"/>
    <w:lvl w:ilvl="0" w:tplc="B218E5C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714772FD"/>
    <w:multiLevelType w:val="hybridMultilevel"/>
    <w:tmpl w:val="E54C2992"/>
    <w:lvl w:ilvl="0" w:tplc="5358A92C">
      <w:start w:val="1"/>
      <w:numFmt w:val="decimal"/>
      <w:lvlText w:val="%1."/>
      <w:lvlJc w:val="left"/>
      <w:pPr>
        <w:ind w:left="1800" w:hanging="360"/>
      </w:pPr>
      <w:rPr>
        <w:rFonts w:hint="default"/>
        <w:i w:val="0"/>
        <w:sz w:val="20"/>
        <w:szCs w:val="2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2" w15:restartNumberingAfterBreak="0">
    <w:nsid w:val="72D22DBE"/>
    <w:multiLevelType w:val="hybridMultilevel"/>
    <w:tmpl w:val="04441C9A"/>
    <w:lvl w:ilvl="0" w:tplc="140A0019">
      <w:start w:val="1"/>
      <w:numFmt w:val="lowerLetter"/>
      <w:lvlText w:val="%1."/>
      <w:lvlJc w:val="left"/>
      <w:pPr>
        <w:ind w:left="1788" w:hanging="360"/>
      </w:p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33" w15:restartNumberingAfterBreak="0">
    <w:nsid w:val="74DA320A"/>
    <w:multiLevelType w:val="hybridMultilevel"/>
    <w:tmpl w:val="77FEED84"/>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0"/>
  </w:num>
  <w:num w:numId="3">
    <w:abstractNumId w:val="23"/>
  </w:num>
  <w:num w:numId="4">
    <w:abstractNumId w:val="2"/>
  </w:num>
  <w:num w:numId="5">
    <w:abstractNumId w:val="25"/>
  </w:num>
  <w:num w:numId="6">
    <w:abstractNumId w:val="7"/>
  </w:num>
  <w:num w:numId="7">
    <w:abstractNumId w:val="8"/>
  </w:num>
  <w:num w:numId="8">
    <w:abstractNumId w:val="6"/>
  </w:num>
  <w:num w:numId="9">
    <w:abstractNumId w:val="18"/>
  </w:num>
  <w:num w:numId="10">
    <w:abstractNumId w:val="31"/>
  </w:num>
  <w:num w:numId="11">
    <w:abstractNumId w:val="15"/>
  </w:num>
  <w:num w:numId="12">
    <w:abstractNumId w:val="29"/>
  </w:num>
  <w:num w:numId="13">
    <w:abstractNumId w:val="1"/>
  </w:num>
  <w:num w:numId="14">
    <w:abstractNumId w:val="30"/>
  </w:num>
  <w:num w:numId="15">
    <w:abstractNumId w:val="17"/>
  </w:num>
  <w:num w:numId="16">
    <w:abstractNumId w:val="5"/>
  </w:num>
  <w:num w:numId="17">
    <w:abstractNumId w:val="16"/>
  </w:num>
  <w:num w:numId="18">
    <w:abstractNumId w:val="20"/>
  </w:num>
  <w:num w:numId="19">
    <w:abstractNumId w:val="34"/>
  </w:num>
  <w:num w:numId="20">
    <w:abstractNumId w:val="13"/>
  </w:num>
  <w:num w:numId="21">
    <w:abstractNumId w:val="11"/>
  </w:num>
  <w:num w:numId="22">
    <w:abstractNumId w:val="10"/>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4"/>
  </w:num>
  <w:num w:numId="28">
    <w:abstractNumId w:val="28"/>
  </w:num>
  <w:num w:numId="29">
    <w:abstractNumId w:val="12"/>
  </w:num>
  <w:num w:numId="30">
    <w:abstractNumId w:val="32"/>
  </w:num>
  <w:num w:numId="31">
    <w:abstractNumId w:val="9"/>
  </w:num>
  <w:num w:numId="32">
    <w:abstractNumId w:val="14"/>
  </w:num>
  <w:num w:numId="33">
    <w:abstractNumId w:val="27"/>
  </w:num>
  <w:num w:numId="34">
    <w:abstractNumId w:val="22"/>
  </w:num>
  <w:num w:numId="3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244F"/>
    <w:rsid w:val="003756F2"/>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56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2F3"/>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26C"/>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3069"/>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0E4B"/>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68CF9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BFAD-E334-4E8B-A88D-D7AE5FC3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7</Pages>
  <Words>2329</Words>
  <Characters>13258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142</cp:revision>
  <cp:lastPrinted>2019-05-22T19:20:00Z</cp:lastPrinted>
  <dcterms:created xsi:type="dcterms:W3CDTF">2018-05-02T21:37:00Z</dcterms:created>
  <dcterms:modified xsi:type="dcterms:W3CDTF">2019-06-05T21:47:00Z</dcterms:modified>
</cp:coreProperties>
</file>