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242A" w:rsidRDefault="005D242A" w:rsidP="007742A1">
      <w:pPr>
        <w:outlineLvl w:val="4"/>
        <w:rPr>
          <w:rFonts w:ascii="Arial" w:hAnsi="Arial" w:cs="Arial"/>
          <w:b/>
          <w:bCs/>
          <w:iCs/>
          <w:sz w:val="26"/>
          <w:szCs w:val="22"/>
          <w:lang w:val="es-CR"/>
        </w:rPr>
      </w:pPr>
    </w:p>
    <w:p w:rsidR="007742A1" w:rsidRPr="00D958BC" w:rsidRDefault="007742A1" w:rsidP="000E4C68">
      <w:pPr>
        <w:tabs>
          <w:tab w:val="left" w:pos="7313"/>
        </w:tabs>
        <w:outlineLvl w:val="4"/>
        <w:rPr>
          <w:rFonts w:ascii="Arial" w:hAnsi="Arial" w:cs="Arial"/>
          <w:b/>
          <w:bCs/>
          <w:iCs/>
          <w:sz w:val="26"/>
          <w:szCs w:val="22"/>
          <w:lang w:val="es-CR"/>
        </w:rPr>
      </w:pPr>
      <w:r w:rsidRPr="00D958BC">
        <w:rPr>
          <w:rFonts w:ascii="Arial" w:hAnsi="Arial" w:cs="Arial"/>
          <w:b/>
          <w:bCs/>
          <w:iCs/>
          <w:sz w:val="26"/>
          <w:szCs w:val="22"/>
          <w:lang w:val="es-CR"/>
        </w:rPr>
        <w:t>SCI-</w:t>
      </w:r>
      <w:r w:rsidR="00D412D6">
        <w:rPr>
          <w:rFonts w:ascii="Arial" w:hAnsi="Arial" w:cs="Arial"/>
          <w:b/>
          <w:bCs/>
          <w:iCs/>
          <w:sz w:val="26"/>
          <w:szCs w:val="22"/>
          <w:lang w:val="es-CR"/>
        </w:rPr>
        <w:t>515</w:t>
      </w:r>
      <w:bookmarkStart w:id="0" w:name="_GoBack"/>
      <w:bookmarkEnd w:id="0"/>
      <w:r w:rsidR="0097601A">
        <w:rPr>
          <w:rFonts w:ascii="Arial" w:hAnsi="Arial" w:cs="Arial"/>
          <w:b/>
          <w:bCs/>
          <w:iCs/>
          <w:sz w:val="26"/>
          <w:szCs w:val="22"/>
          <w:lang w:val="es-CR"/>
        </w:rPr>
        <w:t>-</w:t>
      </w:r>
      <w:r w:rsidRPr="00D958BC">
        <w:rPr>
          <w:rFonts w:ascii="Arial" w:hAnsi="Arial" w:cs="Arial"/>
          <w:b/>
          <w:bCs/>
          <w:iCs/>
          <w:sz w:val="26"/>
          <w:szCs w:val="22"/>
          <w:lang w:val="es-CR"/>
        </w:rPr>
        <w:t>201</w:t>
      </w:r>
      <w:r w:rsidR="000857E5">
        <w:rPr>
          <w:rFonts w:ascii="Arial" w:hAnsi="Arial" w:cs="Arial"/>
          <w:b/>
          <w:bCs/>
          <w:iCs/>
          <w:sz w:val="26"/>
          <w:szCs w:val="22"/>
          <w:lang w:val="es-CR"/>
        </w:rPr>
        <w:t>9</w:t>
      </w:r>
      <w:r w:rsidR="000E4C68">
        <w:rPr>
          <w:rFonts w:ascii="Arial" w:hAnsi="Arial" w:cs="Arial"/>
          <w:b/>
          <w:bCs/>
          <w:iCs/>
          <w:sz w:val="26"/>
          <w:szCs w:val="22"/>
          <w:lang w:val="es-CR"/>
        </w:rPr>
        <w:tab/>
      </w:r>
    </w:p>
    <w:p w:rsidR="007742A1" w:rsidRPr="009912AB" w:rsidRDefault="007742A1" w:rsidP="00337455">
      <w:pPr>
        <w:tabs>
          <w:tab w:val="left" w:pos="6612"/>
        </w:tabs>
        <w:rPr>
          <w:rFonts w:ascii="Arial" w:eastAsia="Cambria" w:hAnsi="Arial" w:cs="Arial"/>
          <w:b/>
          <w:bCs/>
          <w:iCs/>
          <w:sz w:val="40"/>
          <w:szCs w:val="44"/>
          <w:lang w:val="es-ES_tradnl" w:eastAsia="en-US"/>
        </w:rPr>
      </w:pPr>
      <w:r w:rsidRPr="00D958BC">
        <w:rPr>
          <w:rFonts w:ascii="Arial" w:eastAsia="Cambria" w:hAnsi="Arial" w:cs="Arial"/>
          <w:b/>
          <w:bCs/>
          <w:iCs/>
          <w:sz w:val="40"/>
          <w:szCs w:val="44"/>
          <w:lang w:val="es-ES_tradnl" w:eastAsia="en-US"/>
        </w:rPr>
        <w:t xml:space="preserve">Comunicación de acuerdo </w:t>
      </w:r>
      <w:r w:rsidR="00337455">
        <w:rPr>
          <w:rFonts w:ascii="Arial" w:eastAsia="Cambria" w:hAnsi="Arial" w:cs="Arial"/>
          <w:b/>
          <w:bCs/>
          <w:iCs/>
          <w:sz w:val="40"/>
          <w:szCs w:val="44"/>
          <w:lang w:val="es-ES_tradnl" w:eastAsia="en-US"/>
        </w:rPr>
        <w:tab/>
      </w:r>
    </w:p>
    <w:p w:rsidR="007742A1" w:rsidRPr="00D958BC" w:rsidRDefault="007742A1" w:rsidP="007742A1">
      <w:pPr>
        <w:rPr>
          <w:rFonts w:ascii="Cambria" w:eastAsia="Cambria" w:hAnsi="Cambria" w:cs="Arial"/>
          <w:bCs/>
          <w:iCs/>
          <w:sz w:val="16"/>
          <w:szCs w:val="16"/>
          <w:lang w:val="es-ES_tradnl" w:eastAsia="en-US"/>
        </w:rPr>
      </w:pPr>
    </w:p>
    <w:tbl>
      <w:tblPr>
        <w:tblW w:w="9348" w:type="dxa"/>
        <w:tblInd w:w="108" w:type="dxa"/>
        <w:tblLayout w:type="fixed"/>
        <w:tblLook w:val="01E0" w:firstRow="1" w:lastRow="1" w:firstColumn="1" w:lastColumn="1" w:noHBand="0" w:noVBand="0"/>
      </w:tblPr>
      <w:tblGrid>
        <w:gridCol w:w="1374"/>
        <w:gridCol w:w="7974"/>
      </w:tblGrid>
      <w:tr w:rsidR="007742A1" w:rsidRPr="00C413F4" w:rsidTr="00C76420">
        <w:trPr>
          <w:trHeight w:val="588"/>
        </w:trPr>
        <w:tc>
          <w:tcPr>
            <w:tcW w:w="1374" w:type="dxa"/>
          </w:tcPr>
          <w:p w:rsidR="007742A1" w:rsidRPr="00D958BC" w:rsidRDefault="007742A1" w:rsidP="007742A1">
            <w:pPr>
              <w:tabs>
                <w:tab w:val="right" w:pos="2100"/>
                <w:tab w:val="left" w:pos="2694"/>
              </w:tabs>
              <w:rPr>
                <w:rFonts w:ascii="Arial" w:eastAsia="SimSun" w:hAnsi="Arial" w:cs="Arial"/>
                <w:b/>
                <w:iCs/>
                <w:lang w:val="es-ES_tradnl" w:eastAsia="en-US"/>
              </w:rPr>
            </w:pPr>
            <w:r w:rsidRPr="00D958BC">
              <w:rPr>
                <w:rFonts w:ascii="Arial" w:eastAsia="SimSun" w:hAnsi="Arial" w:cs="Arial"/>
                <w:b/>
                <w:iCs/>
                <w:lang w:val="es-ES_tradnl" w:eastAsia="en-US"/>
              </w:rPr>
              <w:t>Para:</w:t>
            </w:r>
          </w:p>
        </w:tc>
        <w:tc>
          <w:tcPr>
            <w:tcW w:w="7974" w:type="dxa"/>
          </w:tcPr>
          <w:p w:rsidR="000C7F00" w:rsidRDefault="007A1C46" w:rsidP="00456ABA">
            <w:pPr>
              <w:jc w:val="both"/>
              <w:rPr>
                <w:rFonts w:ascii="Arial" w:eastAsia="Cambria" w:hAnsi="Arial" w:cs="Arial"/>
                <w:sz w:val="22"/>
                <w:szCs w:val="22"/>
                <w:lang w:val="es-ES_tradnl" w:eastAsia="en-US"/>
              </w:rPr>
            </w:pPr>
            <w:r w:rsidRPr="009E28A0">
              <w:rPr>
                <w:rFonts w:ascii="Arial" w:eastAsia="Cambria" w:hAnsi="Arial" w:cs="Arial"/>
                <w:sz w:val="22"/>
                <w:szCs w:val="22"/>
                <w:lang w:val="es-ES_tradnl" w:eastAsia="en-US"/>
              </w:rPr>
              <w:t>Dr. Julio Calvo Alvarado</w:t>
            </w:r>
            <w:r w:rsidR="0090700F" w:rsidRPr="009E28A0">
              <w:rPr>
                <w:rFonts w:ascii="Arial" w:eastAsia="Cambria" w:hAnsi="Arial" w:cs="Arial"/>
                <w:sz w:val="22"/>
                <w:szCs w:val="22"/>
                <w:lang w:val="es-ES_tradnl" w:eastAsia="en-US"/>
              </w:rPr>
              <w:t>, Rector</w:t>
            </w:r>
          </w:p>
          <w:p w:rsidR="00901698" w:rsidRDefault="00901698" w:rsidP="00456ABA">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Sra. Noemy Montero Guerrero, Jefe de Área</w:t>
            </w:r>
          </w:p>
          <w:p w:rsidR="009A7E90" w:rsidRDefault="009A7E90" w:rsidP="00456ABA">
            <w:pPr>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Asamblea Legislativa </w:t>
            </w:r>
          </w:p>
          <w:p w:rsidR="00555461" w:rsidRPr="009E28A0" w:rsidRDefault="00555461" w:rsidP="00836B60">
            <w:pPr>
              <w:jc w:val="both"/>
              <w:rPr>
                <w:rFonts w:ascii="Arial" w:eastAsia="Cambria" w:hAnsi="Arial" w:cs="Arial"/>
                <w:sz w:val="22"/>
                <w:szCs w:val="22"/>
                <w:lang w:val="es-ES_tradnl" w:eastAsia="en-US"/>
              </w:rPr>
            </w:pPr>
          </w:p>
        </w:tc>
      </w:tr>
      <w:tr w:rsidR="007742A1" w:rsidRPr="00D958BC" w:rsidTr="00C76420">
        <w:trPr>
          <w:trHeight w:val="578"/>
        </w:trPr>
        <w:tc>
          <w:tcPr>
            <w:tcW w:w="1374" w:type="dxa"/>
          </w:tcPr>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 xml:space="preserve">De: </w:t>
            </w:r>
          </w:p>
        </w:tc>
        <w:tc>
          <w:tcPr>
            <w:tcW w:w="7974" w:type="dxa"/>
          </w:tcPr>
          <w:p w:rsidR="006D0CAC" w:rsidRDefault="006D0CAC" w:rsidP="006D0CAC">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M</w:t>
            </w:r>
            <w:r w:rsidR="00443580">
              <w:rPr>
                <w:rFonts w:ascii="Arial" w:eastAsia="Cambria" w:hAnsi="Arial" w:cs="Arial"/>
                <w:sz w:val="22"/>
                <w:szCs w:val="22"/>
                <w:lang w:val="es-ES_tradnl" w:eastAsia="en-US"/>
              </w:rPr>
              <w:t>.</w:t>
            </w:r>
            <w:r>
              <w:rPr>
                <w:rFonts w:ascii="Arial" w:eastAsia="Cambria" w:hAnsi="Arial" w:cs="Arial"/>
                <w:sz w:val="22"/>
                <w:szCs w:val="22"/>
                <w:lang w:val="es-ES_tradnl" w:eastAsia="en-US"/>
              </w:rPr>
              <w:t>A</w:t>
            </w:r>
            <w:r w:rsidR="00443580">
              <w:rPr>
                <w:rFonts w:ascii="Arial" w:eastAsia="Cambria" w:hAnsi="Arial" w:cs="Arial"/>
                <w:sz w:val="22"/>
                <w:szCs w:val="22"/>
                <w:lang w:val="es-ES_tradnl" w:eastAsia="en-US"/>
              </w:rPr>
              <w:t>.</w:t>
            </w:r>
            <w:r>
              <w:rPr>
                <w:rFonts w:ascii="Arial" w:eastAsia="Cambria" w:hAnsi="Arial" w:cs="Arial"/>
                <w:sz w:val="22"/>
                <w:szCs w:val="22"/>
                <w:lang w:val="es-ES_tradnl" w:eastAsia="en-US"/>
              </w:rPr>
              <w:t>E. Ana Damaris Quesada Murillo</w:t>
            </w:r>
            <w:r w:rsidR="00337E83" w:rsidRPr="008E0D8C">
              <w:rPr>
                <w:rFonts w:ascii="Arial" w:eastAsia="Cambria" w:hAnsi="Arial" w:cs="Arial"/>
                <w:sz w:val="22"/>
                <w:szCs w:val="22"/>
                <w:lang w:val="es-ES_tradnl" w:eastAsia="en-US"/>
              </w:rPr>
              <w:t xml:space="preserve">, </w:t>
            </w:r>
            <w:r>
              <w:rPr>
                <w:rFonts w:ascii="Arial" w:eastAsia="Cambria" w:hAnsi="Arial" w:cs="Arial"/>
                <w:sz w:val="22"/>
                <w:szCs w:val="22"/>
                <w:lang w:val="es-ES_tradnl" w:eastAsia="en-US"/>
              </w:rPr>
              <w:t>Directora Ejecutiva</w:t>
            </w:r>
          </w:p>
          <w:p w:rsidR="007742A1" w:rsidRPr="008E0D8C" w:rsidRDefault="006D0CAC" w:rsidP="006D0CAC">
            <w:pPr>
              <w:ind w:left="45"/>
              <w:jc w:val="both"/>
              <w:rPr>
                <w:rFonts w:ascii="Arial" w:eastAsia="Cambria" w:hAnsi="Arial" w:cs="Arial"/>
                <w:sz w:val="22"/>
                <w:szCs w:val="22"/>
                <w:lang w:val="es-ES_tradnl" w:eastAsia="en-US"/>
              </w:rPr>
            </w:pPr>
            <w:r>
              <w:rPr>
                <w:rFonts w:ascii="Arial" w:eastAsia="Cambria" w:hAnsi="Arial" w:cs="Arial"/>
                <w:sz w:val="22"/>
                <w:szCs w:val="22"/>
                <w:lang w:val="es-ES_tradnl" w:eastAsia="en-US"/>
              </w:rPr>
              <w:t xml:space="preserve">Secretaría del </w:t>
            </w:r>
            <w:r w:rsidR="008D7E9D" w:rsidRPr="008E0D8C">
              <w:rPr>
                <w:rFonts w:ascii="Arial" w:eastAsia="Cambria" w:hAnsi="Arial" w:cs="Arial"/>
                <w:sz w:val="22"/>
                <w:szCs w:val="22"/>
                <w:lang w:val="es-ES_tradnl" w:eastAsia="en-US"/>
              </w:rPr>
              <w:t>Consejo Institucional</w:t>
            </w:r>
          </w:p>
        </w:tc>
      </w:tr>
      <w:tr w:rsidR="007742A1" w:rsidRPr="00D958BC" w:rsidTr="00C76420">
        <w:trPr>
          <w:trHeight w:val="251"/>
        </w:trPr>
        <w:tc>
          <w:tcPr>
            <w:tcW w:w="1374" w:type="dxa"/>
          </w:tcPr>
          <w:p w:rsidR="007742A1" w:rsidRPr="00D958BC" w:rsidRDefault="007742A1" w:rsidP="007742A1">
            <w:pPr>
              <w:rPr>
                <w:rFonts w:ascii="Arial" w:eastAsia="SimSun" w:hAnsi="Arial" w:cs="Arial"/>
                <w:b/>
                <w:lang w:val="es-ES_tradnl" w:eastAsia="en-US"/>
              </w:rPr>
            </w:pPr>
          </w:p>
          <w:p w:rsidR="007742A1" w:rsidRPr="00D958BC" w:rsidRDefault="007742A1" w:rsidP="007742A1">
            <w:pPr>
              <w:rPr>
                <w:rFonts w:ascii="Arial" w:eastAsia="SimSun" w:hAnsi="Arial" w:cs="Arial"/>
                <w:b/>
                <w:lang w:val="es-ES_tradnl" w:eastAsia="en-US"/>
              </w:rPr>
            </w:pPr>
            <w:r w:rsidRPr="00D958BC">
              <w:rPr>
                <w:rFonts w:ascii="Arial" w:eastAsia="SimSun" w:hAnsi="Arial" w:cs="Arial"/>
                <w:b/>
                <w:lang w:val="es-ES_tradnl" w:eastAsia="en-US"/>
              </w:rPr>
              <w:t>Fecha:</w:t>
            </w:r>
          </w:p>
        </w:tc>
        <w:tc>
          <w:tcPr>
            <w:tcW w:w="7974" w:type="dxa"/>
          </w:tcPr>
          <w:p w:rsidR="007742A1" w:rsidRPr="008E0D8C" w:rsidRDefault="007742A1" w:rsidP="007742A1">
            <w:pPr>
              <w:tabs>
                <w:tab w:val="right" w:pos="2410"/>
                <w:tab w:val="left" w:pos="2694"/>
              </w:tabs>
              <w:rPr>
                <w:rFonts w:ascii="Arial" w:eastAsia="Cambria" w:hAnsi="Arial" w:cs="Arial"/>
                <w:b/>
                <w:sz w:val="22"/>
                <w:szCs w:val="22"/>
                <w:lang w:eastAsia="en-US"/>
              </w:rPr>
            </w:pPr>
          </w:p>
          <w:p w:rsidR="007F1052" w:rsidRPr="008E0D8C" w:rsidRDefault="00836B60" w:rsidP="000B5852">
            <w:pPr>
              <w:jc w:val="both"/>
              <w:rPr>
                <w:rFonts w:ascii="Arial" w:eastAsia="Cambria" w:hAnsi="Arial" w:cs="Arial"/>
                <w:b/>
                <w:sz w:val="22"/>
                <w:szCs w:val="22"/>
                <w:lang w:val="es-ES_tradnl" w:eastAsia="en-US"/>
              </w:rPr>
            </w:pPr>
            <w:r>
              <w:rPr>
                <w:rFonts w:ascii="Arial" w:eastAsia="Cambria" w:hAnsi="Arial" w:cs="Arial"/>
                <w:b/>
                <w:sz w:val="22"/>
                <w:szCs w:val="22"/>
                <w:lang w:val="es-ES_tradnl" w:eastAsia="en-US"/>
              </w:rPr>
              <w:t>26</w:t>
            </w:r>
            <w:r w:rsidR="000857E5">
              <w:rPr>
                <w:rFonts w:ascii="Arial" w:eastAsia="Cambria" w:hAnsi="Arial" w:cs="Arial"/>
                <w:b/>
                <w:sz w:val="22"/>
                <w:szCs w:val="22"/>
                <w:lang w:val="es-ES_tradnl" w:eastAsia="en-US"/>
              </w:rPr>
              <w:t xml:space="preserve"> de </w:t>
            </w:r>
            <w:r w:rsidR="006F356C">
              <w:rPr>
                <w:rFonts w:ascii="Arial" w:eastAsia="Cambria" w:hAnsi="Arial" w:cs="Arial"/>
                <w:b/>
                <w:sz w:val="22"/>
                <w:szCs w:val="22"/>
                <w:lang w:val="es-ES_tradnl" w:eastAsia="en-US"/>
              </w:rPr>
              <w:t>junio</w:t>
            </w:r>
            <w:r w:rsidR="000857E5">
              <w:rPr>
                <w:rFonts w:ascii="Arial" w:eastAsia="Cambria" w:hAnsi="Arial" w:cs="Arial"/>
                <w:b/>
                <w:sz w:val="22"/>
                <w:szCs w:val="22"/>
                <w:lang w:val="es-ES_tradnl" w:eastAsia="en-US"/>
              </w:rPr>
              <w:t xml:space="preserve"> </w:t>
            </w:r>
            <w:r w:rsidR="007742A1" w:rsidRPr="008E0D8C">
              <w:rPr>
                <w:rFonts w:ascii="Arial" w:eastAsia="Cambria" w:hAnsi="Arial" w:cs="Arial"/>
                <w:b/>
                <w:sz w:val="22"/>
                <w:szCs w:val="22"/>
                <w:lang w:val="es-ES_tradnl" w:eastAsia="en-US"/>
              </w:rPr>
              <w:t>de 201</w:t>
            </w:r>
            <w:r w:rsidR="00AA61D4">
              <w:rPr>
                <w:rFonts w:ascii="Arial" w:eastAsia="Cambria" w:hAnsi="Arial" w:cs="Arial"/>
                <w:b/>
                <w:sz w:val="22"/>
                <w:szCs w:val="22"/>
                <w:lang w:val="es-ES_tradnl" w:eastAsia="en-US"/>
              </w:rPr>
              <w:t>9</w:t>
            </w:r>
          </w:p>
          <w:p w:rsidR="00336F05" w:rsidRPr="008E0D8C" w:rsidRDefault="00336F05" w:rsidP="000B5852">
            <w:pPr>
              <w:jc w:val="both"/>
              <w:rPr>
                <w:rFonts w:ascii="Arial" w:eastAsia="Cambria" w:hAnsi="Arial" w:cs="Arial"/>
                <w:b/>
                <w:sz w:val="22"/>
                <w:szCs w:val="22"/>
                <w:lang w:val="es-ES_tradnl" w:eastAsia="en-US"/>
              </w:rPr>
            </w:pPr>
          </w:p>
        </w:tc>
      </w:tr>
      <w:tr w:rsidR="00A2484D" w:rsidRPr="00F2344D" w:rsidTr="00C76420">
        <w:trPr>
          <w:trHeight w:val="251"/>
        </w:trPr>
        <w:tc>
          <w:tcPr>
            <w:tcW w:w="1374" w:type="dxa"/>
          </w:tcPr>
          <w:p w:rsidR="007742A1" w:rsidRPr="00D958BC" w:rsidRDefault="007742A1" w:rsidP="007742A1">
            <w:pPr>
              <w:rPr>
                <w:rFonts w:ascii="Arial" w:eastAsia="SimSun" w:hAnsi="Arial" w:cs="Arial"/>
                <w:b/>
                <w:sz w:val="22"/>
                <w:szCs w:val="22"/>
                <w:lang w:val="es-ES_tradnl" w:eastAsia="en-US"/>
              </w:rPr>
            </w:pPr>
            <w:r w:rsidRPr="00D958BC">
              <w:rPr>
                <w:rFonts w:ascii="Arial" w:eastAsia="SimSun" w:hAnsi="Arial" w:cs="Arial"/>
                <w:b/>
                <w:sz w:val="22"/>
                <w:szCs w:val="22"/>
                <w:lang w:val="es-ES_tradnl" w:eastAsia="en-US"/>
              </w:rPr>
              <w:t>Asunto</w:t>
            </w:r>
          </w:p>
        </w:tc>
        <w:tc>
          <w:tcPr>
            <w:tcW w:w="7974" w:type="dxa"/>
          </w:tcPr>
          <w:p w:rsidR="00821E37" w:rsidRPr="00E53665" w:rsidRDefault="00FF209C" w:rsidP="00836B60">
            <w:pPr>
              <w:jc w:val="both"/>
              <w:rPr>
                <w:rFonts w:ascii="Arial" w:hAnsi="Arial" w:cs="Arial"/>
                <w:color w:val="000000" w:themeColor="text1"/>
                <w:sz w:val="22"/>
                <w:szCs w:val="22"/>
              </w:rPr>
            </w:pPr>
            <w:r w:rsidRPr="00F2344D">
              <w:rPr>
                <w:rFonts w:ascii="Arial" w:eastAsia="Calibri" w:hAnsi="Arial" w:cs="Arial"/>
                <w:b/>
                <w:sz w:val="22"/>
                <w:szCs w:val="22"/>
              </w:rPr>
              <w:t>S</w:t>
            </w:r>
            <w:r w:rsidR="007742A1" w:rsidRPr="00F2344D">
              <w:rPr>
                <w:rFonts w:ascii="Arial" w:eastAsia="Calibri" w:hAnsi="Arial" w:cs="Arial"/>
                <w:b/>
                <w:sz w:val="22"/>
                <w:szCs w:val="22"/>
              </w:rPr>
              <w:t xml:space="preserve">esión Ordinaria No. </w:t>
            </w:r>
            <w:r w:rsidR="00337455" w:rsidRPr="00F2344D">
              <w:rPr>
                <w:rFonts w:ascii="Arial" w:eastAsia="Calibri" w:hAnsi="Arial" w:cs="Arial"/>
                <w:b/>
                <w:sz w:val="22"/>
                <w:szCs w:val="22"/>
              </w:rPr>
              <w:t>3</w:t>
            </w:r>
            <w:r w:rsidR="003F3400" w:rsidRPr="00F2344D">
              <w:rPr>
                <w:rFonts w:ascii="Arial" w:eastAsia="Calibri" w:hAnsi="Arial" w:cs="Arial"/>
                <w:b/>
                <w:sz w:val="22"/>
                <w:szCs w:val="22"/>
              </w:rPr>
              <w:t>1</w:t>
            </w:r>
            <w:r w:rsidR="006F356C">
              <w:rPr>
                <w:rFonts w:ascii="Arial" w:eastAsia="Calibri" w:hAnsi="Arial" w:cs="Arial"/>
                <w:b/>
                <w:sz w:val="22"/>
                <w:szCs w:val="22"/>
              </w:rPr>
              <w:t>2</w:t>
            </w:r>
            <w:r w:rsidR="00836B60">
              <w:rPr>
                <w:rFonts w:ascii="Arial" w:eastAsia="Calibri" w:hAnsi="Arial" w:cs="Arial"/>
                <w:b/>
                <w:sz w:val="22"/>
                <w:szCs w:val="22"/>
              </w:rPr>
              <w:t>5</w:t>
            </w:r>
            <w:r w:rsidR="007742A1" w:rsidRPr="00F2344D">
              <w:rPr>
                <w:rFonts w:ascii="Arial" w:eastAsia="Calibri" w:hAnsi="Arial" w:cs="Arial"/>
                <w:b/>
                <w:sz w:val="22"/>
                <w:szCs w:val="22"/>
              </w:rPr>
              <w:t>, Artículo</w:t>
            </w:r>
            <w:r w:rsidR="00A5669A" w:rsidRPr="00F2344D">
              <w:rPr>
                <w:rFonts w:ascii="Arial" w:eastAsia="Calibri" w:hAnsi="Arial" w:cs="Arial"/>
                <w:b/>
                <w:sz w:val="22"/>
                <w:szCs w:val="22"/>
              </w:rPr>
              <w:t xml:space="preserve"> </w:t>
            </w:r>
            <w:r w:rsidR="00803597">
              <w:rPr>
                <w:rFonts w:ascii="Arial" w:eastAsia="Calibri" w:hAnsi="Arial" w:cs="Arial"/>
                <w:b/>
                <w:sz w:val="22"/>
                <w:szCs w:val="22"/>
              </w:rPr>
              <w:t>7</w:t>
            </w:r>
            <w:r w:rsidR="00FF3C43" w:rsidRPr="00F2344D">
              <w:rPr>
                <w:rFonts w:ascii="Arial" w:eastAsia="Calibri" w:hAnsi="Arial" w:cs="Arial"/>
                <w:b/>
                <w:sz w:val="22"/>
                <w:szCs w:val="22"/>
              </w:rPr>
              <w:t>,</w:t>
            </w:r>
            <w:r w:rsidR="007742A1" w:rsidRPr="00F2344D">
              <w:rPr>
                <w:rFonts w:ascii="Arial" w:eastAsia="Calibri" w:hAnsi="Arial" w:cs="Arial"/>
                <w:b/>
                <w:sz w:val="22"/>
                <w:szCs w:val="22"/>
              </w:rPr>
              <w:t xml:space="preserve"> del </w:t>
            </w:r>
            <w:r w:rsidR="00836B60">
              <w:rPr>
                <w:rFonts w:ascii="Arial" w:eastAsia="Calibri" w:hAnsi="Arial" w:cs="Arial"/>
                <w:b/>
                <w:sz w:val="22"/>
                <w:szCs w:val="22"/>
              </w:rPr>
              <w:t>26</w:t>
            </w:r>
            <w:r w:rsidR="000857E5" w:rsidRPr="00F2344D">
              <w:rPr>
                <w:rFonts w:ascii="Arial" w:eastAsia="Calibri" w:hAnsi="Arial" w:cs="Arial"/>
                <w:b/>
                <w:sz w:val="22"/>
                <w:szCs w:val="22"/>
              </w:rPr>
              <w:t xml:space="preserve"> de </w:t>
            </w:r>
            <w:r w:rsidR="006F356C">
              <w:rPr>
                <w:rFonts w:ascii="Arial" w:eastAsia="Calibri" w:hAnsi="Arial" w:cs="Arial"/>
                <w:b/>
                <w:sz w:val="22"/>
                <w:szCs w:val="22"/>
              </w:rPr>
              <w:t>juni</w:t>
            </w:r>
            <w:r w:rsidR="00CB5706">
              <w:rPr>
                <w:rFonts w:ascii="Arial" w:eastAsia="Calibri" w:hAnsi="Arial" w:cs="Arial"/>
                <w:b/>
                <w:sz w:val="22"/>
                <w:szCs w:val="22"/>
              </w:rPr>
              <w:t>o</w:t>
            </w:r>
            <w:r w:rsidR="00E818A8" w:rsidRPr="00F2344D">
              <w:rPr>
                <w:rFonts w:ascii="Arial" w:eastAsia="Calibri" w:hAnsi="Arial" w:cs="Arial"/>
                <w:b/>
                <w:sz w:val="22"/>
                <w:szCs w:val="22"/>
              </w:rPr>
              <w:t xml:space="preserve"> </w:t>
            </w:r>
            <w:r w:rsidR="00A772EF" w:rsidRPr="00F2344D">
              <w:rPr>
                <w:rFonts w:ascii="Arial" w:eastAsia="Calibri" w:hAnsi="Arial" w:cs="Arial"/>
                <w:b/>
                <w:sz w:val="22"/>
                <w:szCs w:val="22"/>
              </w:rPr>
              <w:t>de 201</w:t>
            </w:r>
            <w:r w:rsidR="00AA61D4" w:rsidRPr="00F2344D">
              <w:rPr>
                <w:rFonts w:ascii="Arial" w:eastAsia="Calibri" w:hAnsi="Arial" w:cs="Arial"/>
                <w:b/>
                <w:sz w:val="22"/>
                <w:szCs w:val="22"/>
              </w:rPr>
              <w:t>9</w:t>
            </w:r>
            <w:r w:rsidR="00925985" w:rsidRPr="00F2344D">
              <w:rPr>
                <w:rFonts w:ascii="Arial" w:eastAsia="Calibri" w:hAnsi="Arial" w:cs="Arial"/>
                <w:b/>
                <w:sz w:val="22"/>
                <w:szCs w:val="22"/>
              </w:rPr>
              <w:t>.</w:t>
            </w:r>
            <w:r w:rsidR="00037459">
              <w:rPr>
                <w:rFonts w:ascii="Arial" w:eastAsia="Calibri" w:hAnsi="Arial" w:cs="Arial"/>
                <w:b/>
                <w:sz w:val="22"/>
                <w:szCs w:val="22"/>
              </w:rPr>
              <w:t xml:space="preserve"> </w:t>
            </w:r>
            <w:r w:rsidR="00836B60" w:rsidRPr="00836B60">
              <w:rPr>
                <w:rFonts w:ascii="Arial" w:hAnsi="Arial" w:cs="Arial"/>
                <w:b/>
                <w:sz w:val="22"/>
                <w:szCs w:val="22"/>
              </w:rPr>
              <w:t>Pronunciamiento del Consejo Institucional acerca del Proyecto de “Ley para brindar seguridad jurídica sobre la huelga y sus procedimientos (texto sustitutivo)”</w:t>
            </w:r>
            <w:r w:rsidR="002D0584">
              <w:rPr>
                <w:rFonts w:ascii="Arial" w:hAnsi="Arial" w:cs="Arial"/>
                <w:b/>
                <w:sz w:val="22"/>
                <w:szCs w:val="22"/>
              </w:rPr>
              <w:t>,</w:t>
            </w:r>
            <w:r w:rsidR="00836B60" w:rsidRPr="00836B60">
              <w:rPr>
                <w:rFonts w:ascii="Arial" w:hAnsi="Arial" w:cs="Arial"/>
                <w:b/>
                <w:sz w:val="22"/>
                <w:szCs w:val="22"/>
              </w:rPr>
              <w:t xml:space="preserve"> Expediente No. 21.049</w:t>
            </w:r>
          </w:p>
        </w:tc>
      </w:tr>
    </w:tbl>
    <w:p w:rsidR="00FF209C" w:rsidRDefault="00FF209C" w:rsidP="007742A1">
      <w:pPr>
        <w:jc w:val="both"/>
        <w:rPr>
          <w:rFonts w:ascii="Arial" w:eastAsia="Cambria" w:hAnsi="Arial" w:cs="Arial"/>
          <w:lang w:val="es-ES_tradnl" w:eastAsia="en-US"/>
        </w:rPr>
      </w:pPr>
    </w:p>
    <w:p w:rsidR="007742A1" w:rsidRDefault="007742A1" w:rsidP="007742A1">
      <w:pPr>
        <w:jc w:val="both"/>
        <w:rPr>
          <w:rFonts w:ascii="Arial" w:eastAsia="Cambria" w:hAnsi="Arial" w:cs="Arial"/>
          <w:lang w:val="es-ES_tradnl" w:eastAsia="en-US"/>
        </w:rPr>
      </w:pPr>
      <w:r w:rsidRPr="00D958BC">
        <w:rPr>
          <w:rFonts w:ascii="Arial" w:eastAsia="Cambria" w:hAnsi="Arial" w:cs="Arial"/>
          <w:lang w:val="es-ES_tradnl" w:eastAsia="en-US"/>
        </w:rPr>
        <w:t>Para los fines correspondientes se transcribe el acuerdo tomado por el Consejo Institucional, citado en la referencia, el cual dice:</w:t>
      </w:r>
    </w:p>
    <w:p w:rsidR="00901698" w:rsidRDefault="00901698" w:rsidP="007742A1">
      <w:pPr>
        <w:jc w:val="both"/>
        <w:rPr>
          <w:rFonts w:ascii="Arial" w:eastAsia="Cambria" w:hAnsi="Arial" w:cs="Arial"/>
          <w:lang w:val="es-ES_tradnl" w:eastAsia="en-US"/>
        </w:rPr>
      </w:pPr>
    </w:p>
    <w:p w:rsidR="00901698" w:rsidRPr="00901698" w:rsidRDefault="00901698" w:rsidP="00901698">
      <w:pPr>
        <w:spacing w:after="200"/>
        <w:rPr>
          <w:rFonts w:ascii="Arial" w:hAnsi="Arial" w:cs="Arial"/>
          <w:b/>
          <w:bCs/>
          <w:i/>
          <w:iCs/>
          <w:kern w:val="32"/>
        </w:rPr>
      </w:pPr>
      <w:r w:rsidRPr="00901698">
        <w:rPr>
          <w:rFonts w:ascii="Arial" w:hAnsi="Arial" w:cs="Arial"/>
          <w:b/>
          <w:bCs/>
          <w:kern w:val="32"/>
        </w:rPr>
        <w:t>RESULTANDO QUE:</w:t>
      </w:r>
    </w:p>
    <w:p w:rsidR="00901698" w:rsidRPr="00901698" w:rsidRDefault="00901698" w:rsidP="00901698">
      <w:pPr>
        <w:numPr>
          <w:ilvl w:val="0"/>
          <w:numId w:val="4"/>
        </w:numPr>
        <w:ind w:left="360"/>
        <w:jc w:val="both"/>
        <w:rPr>
          <w:rFonts w:ascii="Arial" w:hAnsi="Arial" w:cs="Arial"/>
          <w:lang w:val="es-CR"/>
        </w:rPr>
      </w:pPr>
      <w:r w:rsidRPr="00901698">
        <w:rPr>
          <w:rFonts w:ascii="Arial" w:hAnsi="Arial" w:cs="Arial"/>
          <w:lang w:val="es-CR"/>
        </w:rPr>
        <w:t>El Artículo 88 de la Constitución Política de la República de Costa Rica prescribe:</w:t>
      </w:r>
    </w:p>
    <w:p w:rsidR="00901698" w:rsidRPr="00901698" w:rsidRDefault="00901698" w:rsidP="00901698">
      <w:pPr>
        <w:ind w:left="360"/>
        <w:jc w:val="both"/>
        <w:rPr>
          <w:rFonts w:ascii="Arial" w:hAnsi="Arial" w:cs="Arial"/>
          <w:sz w:val="22"/>
          <w:szCs w:val="22"/>
          <w:lang w:val="es-CR"/>
        </w:rPr>
      </w:pPr>
    </w:p>
    <w:p w:rsidR="00901698" w:rsidRPr="00901698" w:rsidRDefault="00901698" w:rsidP="00901698">
      <w:pPr>
        <w:ind w:left="426" w:right="689"/>
        <w:jc w:val="both"/>
        <w:rPr>
          <w:rFonts w:ascii="Arial" w:hAnsi="Arial" w:cs="Arial"/>
          <w:i/>
          <w:sz w:val="22"/>
          <w:szCs w:val="22"/>
          <w:lang w:val="es-CR"/>
        </w:rPr>
      </w:pPr>
      <w:r w:rsidRPr="00901698">
        <w:rPr>
          <w:rFonts w:ascii="Arial" w:hAnsi="Arial" w:cs="Arial"/>
          <w:i/>
          <w:sz w:val="22"/>
          <w:szCs w:val="22"/>
          <w:lang w:val="es-CR"/>
        </w:rPr>
        <w:t>“Para la discusión y aprobación de proyectos de ley relativos a las materias puestas bajo la competencia de la Universidad de Costa Rica y de las demás instituciones de educación superior universitaria, o relacionadas directamente con ellas, la Asamblea Legislativa deberá oír previamente al Consejo Universitario o el órgano director correspondiente de cada una de ellas”.</w:t>
      </w:r>
    </w:p>
    <w:p w:rsidR="00901698" w:rsidRPr="00901698" w:rsidRDefault="00901698" w:rsidP="00901698">
      <w:pPr>
        <w:ind w:left="426" w:right="689"/>
        <w:jc w:val="both"/>
        <w:rPr>
          <w:rFonts w:ascii="Arial" w:hAnsi="Arial" w:cs="Arial"/>
          <w:i/>
          <w:sz w:val="22"/>
          <w:szCs w:val="22"/>
          <w:lang w:val="es-CR"/>
        </w:rPr>
      </w:pPr>
    </w:p>
    <w:p w:rsidR="00901698" w:rsidRPr="00901698" w:rsidRDefault="00901698" w:rsidP="00901698">
      <w:pPr>
        <w:numPr>
          <w:ilvl w:val="0"/>
          <w:numId w:val="4"/>
        </w:numPr>
        <w:ind w:left="360"/>
        <w:jc w:val="both"/>
        <w:rPr>
          <w:rFonts w:ascii="Arial" w:hAnsi="Arial" w:cs="Arial"/>
          <w:lang w:val="es-CR"/>
        </w:rPr>
      </w:pPr>
      <w:r w:rsidRPr="00901698">
        <w:rPr>
          <w:rFonts w:ascii="Arial" w:hAnsi="Arial" w:cs="Arial"/>
          <w:lang w:val="es-CR"/>
        </w:rPr>
        <w:t>El Estatuto Orgánico del Instituto Tecnológico de Costa Rica, en el Artículo 18, inciso i) señala:</w:t>
      </w:r>
    </w:p>
    <w:p w:rsidR="00901698" w:rsidRPr="00901698" w:rsidRDefault="00901698" w:rsidP="00901698">
      <w:pPr>
        <w:ind w:left="1080" w:right="689"/>
        <w:jc w:val="both"/>
        <w:rPr>
          <w:rFonts w:ascii="Arial" w:hAnsi="Arial" w:cs="Arial"/>
          <w:i/>
          <w:sz w:val="22"/>
          <w:szCs w:val="22"/>
          <w:lang w:val="es-CR"/>
        </w:rPr>
      </w:pPr>
    </w:p>
    <w:p w:rsidR="00901698" w:rsidRPr="00901698" w:rsidRDefault="00901698" w:rsidP="00901698">
      <w:pPr>
        <w:ind w:left="426" w:right="689"/>
        <w:jc w:val="both"/>
        <w:rPr>
          <w:rFonts w:ascii="Arial" w:hAnsi="Arial" w:cs="Arial"/>
          <w:i/>
          <w:sz w:val="22"/>
          <w:szCs w:val="22"/>
          <w:lang w:val="es-CR"/>
        </w:rPr>
      </w:pPr>
      <w:r w:rsidRPr="00901698">
        <w:rPr>
          <w:rFonts w:ascii="Arial" w:hAnsi="Arial" w:cs="Arial"/>
          <w:i/>
          <w:sz w:val="22"/>
          <w:szCs w:val="22"/>
          <w:lang w:val="es-CR"/>
        </w:rPr>
        <w:t>“Son funciones del Consejo Institucional:</w:t>
      </w:r>
    </w:p>
    <w:p w:rsidR="00901698" w:rsidRPr="00901698" w:rsidRDefault="00901698" w:rsidP="00901698">
      <w:pPr>
        <w:ind w:left="426" w:right="689"/>
        <w:jc w:val="both"/>
        <w:rPr>
          <w:rFonts w:ascii="Arial" w:hAnsi="Arial" w:cs="Arial"/>
          <w:i/>
          <w:sz w:val="22"/>
          <w:szCs w:val="22"/>
          <w:lang w:val="es-CR"/>
        </w:rPr>
      </w:pPr>
      <w:r w:rsidRPr="00901698">
        <w:rPr>
          <w:rFonts w:ascii="Arial" w:hAnsi="Arial" w:cs="Arial"/>
          <w:i/>
          <w:sz w:val="22"/>
          <w:szCs w:val="22"/>
          <w:lang w:val="es-CR"/>
        </w:rPr>
        <w:t>…</w:t>
      </w:r>
    </w:p>
    <w:p w:rsidR="00901698" w:rsidRPr="00901698" w:rsidRDefault="00901698" w:rsidP="00901698">
      <w:pPr>
        <w:ind w:left="426" w:right="689"/>
        <w:jc w:val="both"/>
        <w:rPr>
          <w:rFonts w:ascii="Arial" w:hAnsi="Arial" w:cs="Arial"/>
          <w:i/>
          <w:sz w:val="22"/>
          <w:szCs w:val="22"/>
          <w:lang w:val="es-CR"/>
        </w:rPr>
      </w:pPr>
      <w:r w:rsidRPr="00901698">
        <w:rPr>
          <w:rFonts w:ascii="Arial" w:hAnsi="Arial" w:cs="Arial"/>
          <w:i/>
          <w:sz w:val="22"/>
          <w:szCs w:val="22"/>
          <w:lang w:val="es-CR"/>
        </w:rPr>
        <w:t>Evacuar las consultas a que se refiere el Artículo 88 de la Constitución Política de la República”.</w:t>
      </w:r>
    </w:p>
    <w:p w:rsidR="00901698" w:rsidRPr="00901698" w:rsidRDefault="00901698" w:rsidP="00901698">
      <w:pPr>
        <w:ind w:right="689"/>
        <w:jc w:val="both"/>
        <w:rPr>
          <w:rFonts w:ascii="Arial" w:hAnsi="Arial" w:cs="Arial"/>
          <w:i/>
          <w:sz w:val="22"/>
          <w:szCs w:val="22"/>
          <w:lang w:val="es-CR"/>
        </w:rPr>
      </w:pPr>
    </w:p>
    <w:p w:rsidR="00901698" w:rsidRPr="00901698" w:rsidRDefault="00901698" w:rsidP="00901698">
      <w:pPr>
        <w:numPr>
          <w:ilvl w:val="0"/>
          <w:numId w:val="4"/>
        </w:numPr>
        <w:ind w:left="360"/>
        <w:jc w:val="both"/>
        <w:rPr>
          <w:rFonts w:ascii="Arial" w:hAnsi="Arial" w:cs="Arial"/>
          <w:lang w:val="es-CR"/>
        </w:rPr>
      </w:pPr>
      <w:r w:rsidRPr="00901698">
        <w:rPr>
          <w:rFonts w:ascii="Arial" w:hAnsi="Arial" w:cs="Arial"/>
          <w:lang w:val="es-CR"/>
        </w:rPr>
        <w:t>La Organización Internacional del Trabajo ha indicado, por medio del Comité de Libertad sindical, lo siguiente:</w:t>
      </w:r>
    </w:p>
    <w:p w:rsidR="00901698" w:rsidRPr="00901698" w:rsidRDefault="00901698" w:rsidP="00901698">
      <w:pPr>
        <w:ind w:left="360"/>
        <w:jc w:val="both"/>
        <w:rPr>
          <w:rFonts w:ascii="Arial" w:hAnsi="Arial" w:cs="Arial"/>
          <w:sz w:val="22"/>
          <w:szCs w:val="22"/>
          <w:lang w:val="es-CR"/>
        </w:rPr>
      </w:pPr>
    </w:p>
    <w:p w:rsidR="00901698" w:rsidRPr="00901698" w:rsidRDefault="00901698" w:rsidP="00901698">
      <w:pPr>
        <w:autoSpaceDE w:val="0"/>
        <w:autoSpaceDN w:val="0"/>
        <w:adjustRightInd w:val="0"/>
        <w:ind w:left="360"/>
        <w:rPr>
          <w:rFonts w:ascii="Arial" w:eastAsiaTheme="minorHAnsi" w:hAnsi="Arial" w:cs="Arial"/>
          <w:i/>
          <w:sz w:val="20"/>
          <w:szCs w:val="20"/>
          <w:lang w:val="es-CR" w:eastAsia="en-US"/>
        </w:rPr>
      </w:pPr>
      <w:r w:rsidRPr="00901698">
        <w:rPr>
          <w:rFonts w:ascii="Arial" w:eastAsiaTheme="minorHAnsi" w:hAnsi="Arial" w:cs="Arial"/>
          <w:i/>
          <w:sz w:val="20"/>
          <w:szCs w:val="20"/>
          <w:lang w:val="es-CR" w:eastAsia="en-US"/>
        </w:rPr>
        <w:t>“204. El derecho de huelga y el derecho a organizar reuniones sindicales son elementos esenciales del derecho sindical, por lo que las medidas adoptadas por las autoridades para hacer respetar la legalidad no deberían tener por efecto impedir a los sindicatos organizar reuniones con ocasión de los conflictos de trabajo.</w:t>
      </w:r>
    </w:p>
    <w:p w:rsidR="00901698" w:rsidRPr="00901698" w:rsidRDefault="00901698" w:rsidP="00901698">
      <w:pPr>
        <w:ind w:left="720"/>
        <w:jc w:val="both"/>
        <w:rPr>
          <w:rFonts w:ascii="Arial" w:eastAsiaTheme="minorHAnsi" w:hAnsi="Arial" w:cs="Arial"/>
          <w:i/>
          <w:sz w:val="20"/>
          <w:szCs w:val="20"/>
          <w:lang w:val="es-CR" w:eastAsia="en-US"/>
        </w:rPr>
      </w:pPr>
      <w:r w:rsidRPr="00901698">
        <w:rPr>
          <w:rFonts w:ascii="Arial" w:eastAsiaTheme="minorHAnsi" w:hAnsi="Arial" w:cs="Arial"/>
          <w:i/>
          <w:sz w:val="20"/>
          <w:szCs w:val="20"/>
          <w:lang w:val="es-CR" w:eastAsia="en-US"/>
        </w:rPr>
        <w:t>(Véanse Recopilación de 2006, párrafo 131; y 368º informe, Caso núm. 2912, párrafo 227.)</w:t>
      </w:r>
    </w:p>
    <w:p w:rsidR="00901698" w:rsidRPr="00901698" w:rsidRDefault="00901698" w:rsidP="00901698">
      <w:pPr>
        <w:ind w:left="720"/>
        <w:jc w:val="both"/>
        <w:rPr>
          <w:rFonts w:ascii="Arial" w:hAnsi="Arial" w:cs="Arial"/>
          <w:i/>
          <w:sz w:val="20"/>
          <w:szCs w:val="20"/>
          <w:lang w:val="es-CR"/>
        </w:rPr>
      </w:pPr>
    </w:p>
    <w:p w:rsidR="00901698" w:rsidRPr="00901698" w:rsidRDefault="00901698" w:rsidP="00901698">
      <w:pPr>
        <w:autoSpaceDE w:val="0"/>
        <w:autoSpaceDN w:val="0"/>
        <w:adjustRightInd w:val="0"/>
        <w:ind w:left="360"/>
        <w:rPr>
          <w:rFonts w:ascii="Arial" w:eastAsiaTheme="minorHAnsi" w:hAnsi="Arial" w:cs="Arial"/>
          <w:i/>
          <w:sz w:val="20"/>
          <w:szCs w:val="20"/>
          <w:lang w:val="es-CR" w:eastAsia="en-US"/>
        </w:rPr>
      </w:pPr>
      <w:r w:rsidRPr="00901698">
        <w:rPr>
          <w:rFonts w:ascii="Arial" w:eastAsiaTheme="minorHAnsi" w:hAnsi="Arial" w:cs="Arial"/>
          <w:i/>
          <w:sz w:val="20"/>
          <w:szCs w:val="20"/>
          <w:lang w:val="es-CR" w:eastAsia="en-US"/>
        </w:rPr>
        <w:t>752. El Comité ha reconocido siempre el derecho de huelga como un derecho legítimo al que pueden recurrir los trabajadores y sus organizaciones en defensa de sus intereses económicos y sociales.</w:t>
      </w:r>
    </w:p>
    <w:p w:rsidR="00901698" w:rsidRPr="00901698" w:rsidRDefault="00901698" w:rsidP="00901698">
      <w:pPr>
        <w:ind w:left="720"/>
        <w:jc w:val="both"/>
        <w:rPr>
          <w:rFonts w:ascii="Arial" w:eastAsiaTheme="minorHAnsi" w:hAnsi="Arial" w:cs="Arial"/>
          <w:i/>
          <w:sz w:val="20"/>
          <w:szCs w:val="20"/>
          <w:lang w:val="es-CR" w:eastAsia="en-US"/>
        </w:rPr>
      </w:pPr>
    </w:p>
    <w:p w:rsidR="00901698" w:rsidRPr="00901698" w:rsidRDefault="00901698" w:rsidP="00901698">
      <w:pPr>
        <w:autoSpaceDE w:val="0"/>
        <w:autoSpaceDN w:val="0"/>
        <w:adjustRightInd w:val="0"/>
        <w:ind w:left="360"/>
        <w:rPr>
          <w:rFonts w:ascii="Arial" w:eastAsiaTheme="minorHAnsi" w:hAnsi="Arial" w:cs="Arial"/>
          <w:i/>
          <w:sz w:val="20"/>
          <w:szCs w:val="20"/>
          <w:lang w:val="es-CR" w:eastAsia="en-US"/>
        </w:rPr>
      </w:pPr>
      <w:r w:rsidRPr="00901698">
        <w:rPr>
          <w:rFonts w:ascii="Arial" w:eastAsiaTheme="minorHAnsi" w:hAnsi="Arial" w:cs="Arial"/>
          <w:i/>
          <w:sz w:val="20"/>
          <w:szCs w:val="20"/>
          <w:lang w:val="es-CR" w:eastAsia="en-US"/>
        </w:rPr>
        <w:t>754. El derecho de huelga es corolario indisociable del derecho de sindicación protegido por el Convenio núm. 87.</w:t>
      </w:r>
    </w:p>
    <w:p w:rsidR="00901698" w:rsidRPr="00901698" w:rsidRDefault="00901698" w:rsidP="00901698">
      <w:pPr>
        <w:autoSpaceDE w:val="0"/>
        <w:autoSpaceDN w:val="0"/>
        <w:adjustRightInd w:val="0"/>
        <w:ind w:left="360"/>
        <w:rPr>
          <w:rFonts w:ascii="Arial" w:eastAsiaTheme="minorHAnsi" w:hAnsi="Arial" w:cs="Arial"/>
          <w:i/>
          <w:sz w:val="20"/>
          <w:szCs w:val="20"/>
          <w:lang w:val="es-CR" w:eastAsia="en-US"/>
        </w:rPr>
      </w:pPr>
      <w:r w:rsidRPr="00901698">
        <w:rPr>
          <w:rFonts w:ascii="Arial" w:eastAsiaTheme="minorHAnsi" w:hAnsi="Arial" w:cs="Arial"/>
          <w:i/>
          <w:sz w:val="20"/>
          <w:szCs w:val="20"/>
          <w:lang w:val="es-CR" w:eastAsia="en-US"/>
        </w:rPr>
        <w:lastRenderedPageBreak/>
        <w:t>(Véanse Recopilación de 2006, párrafo 523; 344º informe, Caso núm. 2471, párrafo 891; 346º informe, Caso núm. 2506, párrafo 1076, Caso núm. 2473, párrafo 1532; 349º informe, Caso núm. 2552, párrafo 419; 354º informe, Caso núm. 2581, párrafo 1114; y 362º informe, Caso núm. 2838, párrafo 1077.)</w:t>
      </w:r>
    </w:p>
    <w:p w:rsidR="00901698" w:rsidRPr="00901698" w:rsidRDefault="00901698" w:rsidP="00901698">
      <w:pPr>
        <w:ind w:left="720"/>
        <w:jc w:val="both"/>
        <w:rPr>
          <w:rFonts w:ascii="Arial" w:eastAsiaTheme="minorHAnsi" w:hAnsi="Arial" w:cs="Arial"/>
          <w:i/>
          <w:sz w:val="20"/>
          <w:szCs w:val="20"/>
          <w:lang w:val="es-CR" w:eastAsia="en-US"/>
        </w:rPr>
      </w:pPr>
    </w:p>
    <w:p w:rsidR="00901698" w:rsidRPr="00901698" w:rsidRDefault="00901698" w:rsidP="00901698">
      <w:pPr>
        <w:autoSpaceDE w:val="0"/>
        <w:autoSpaceDN w:val="0"/>
        <w:adjustRightInd w:val="0"/>
        <w:ind w:left="360"/>
        <w:rPr>
          <w:rFonts w:ascii="Arial" w:eastAsiaTheme="minorHAnsi" w:hAnsi="Arial" w:cs="Arial"/>
          <w:i/>
          <w:sz w:val="20"/>
          <w:szCs w:val="20"/>
          <w:lang w:val="es-CR" w:eastAsia="en-US"/>
        </w:rPr>
      </w:pPr>
      <w:r w:rsidRPr="00901698">
        <w:rPr>
          <w:rFonts w:ascii="Arial" w:eastAsiaTheme="minorHAnsi" w:hAnsi="Arial" w:cs="Arial"/>
          <w:i/>
          <w:sz w:val="20"/>
          <w:szCs w:val="20"/>
          <w:lang w:val="es-CR" w:eastAsia="en-US"/>
        </w:rPr>
        <w:t>758. Los intereses profesionales y económicos que los trabajadores defienden mediante el derecho de huelga abarcan no sólo la obtención de mejores condiciones de trabajo o las reivindicaciones colectivas de orden profesional, sino que engloban también la búsqueda de soluciones a las cuestiones de política económica y social y a los problemas que se plantean en la empresa y que interesan directamente a los trabajadores.</w:t>
      </w:r>
    </w:p>
    <w:p w:rsidR="00901698" w:rsidRPr="00901698" w:rsidRDefault="00901698" w:rsidP="00901698">
      <w:pPr>
        <w:autoSpaceDE w:val="0"/>
        <w:autoSpaceDN w:val="0"/>
        <w:adjustRightInd w:val="0"/>
        <w:ind w:left="360"/>
        <w:rPr>
          <w:rFonts w:ascii="Arial" w:eastAsiaTheme="minorHAnsi" w:hAnsi="Arial" w:cs="Arial"/>
          <w:i/>
          <w:sz w:val="20"/>
          <w:szCs w:val="20"/>
          <w:lang w:val="es-CR" w:eastAsia="en-US"/>
        </w:rPr>
      </w:pPr>
      <w:r w:rsidRPr="00901698">
        <w:rPr>
          <w:rFonts w:ascii="Arial" w:eastAsiaTheme="minorHAnsi" w:hAnsi="Arial" w:cs="Arial"/>
          <w:i/>
          <w:sz w:val="20"/>
          <w:szCs w:val="20"/>
          <w:lang w:val="es-CR" w:eastAsia="en-US"/>
        </w:rPr>
        <w:t>(Véanse Recopilación de 2006, párrafo 526; 344º informe, Caso núm. 2496, párrafo 407; 353º informe, Caso núm. 2619, párrafo 573; 355º informe, Caso núm. 2602, párrafo 668; 357º informe, Caso núm. 2698, párrafo 224; 371º informe, Caso núm. 2963, párrafo 236, Caso núm. 2988, párrafo 852; y 378º informe, Caso núm. 3111, párrafo 712.)”</w:t>
      </w:r>
    </w:p>
    <w:p w:rsidR="00901698" w:rsidRPr="00901698" w:rsidRDefault="00901698" w:rsidP="00901698">
      <w:pPr>
        <w:autoSpaceDE w:val="0"/>
        <w:autoSpaceDN w:val="0"/>
        <w:adjustRightInd w:val="0"/>
        <w:ind w:left="360"/>
        <w:rPr>
          <w:rFonts w:ascii="Arial" w:hAnsi="Arial" w:cs="Arial"/>
          <w:sz w:val="20"/>
          <w:szCs w:val="20"/>
          <w:lang w:val="es-CR"/>
        </w:rPr>
      </w:pPr>
      <w:r w:rsidRPr="00901698">
        <w:rPr>
          <w:rFonts w:ascii="Arial" w:eastAsiaTheme="minorHAnsi" w:hAnsi="Arial" w:cs="Arial"/>
          <w:sz w:val="20"/>
          <w:szCs w:val="20"/>
          <w:lang w:val="es-CR" w:eastAsia="en-US"/>
        </w:rPr>
        <w:t>(OIT, Libertad Sindical, 2018, Sexta Edición)</w:t>
      </w:r>
    </w:p>
    <w:p w:rsidR="00901698" w:rsidRPr="00901698" w:rsidRDefault="00901698" w:rsidP="00901698">
      <w:pPr>
        <w:ind w:left="360"/>
        <w:jc w:val="both"/>
        <w:rPr>
          <w:rFonts w:ascii="Arial" w:hAnsi="Arial" w:cs="Arial"/>
          <w:sz w:val="22"/>
          <w:szCs w:val="22"/>
          <w:lang w:val="es-CR"/>
        </w:rPr>
      </w:pPr>
    </w:p>
    <w:p w:rsidR="00901698" w:rsidRPr="00901698" w:rsidRDefault="00901698" w:rsidP="00901698">
      <w:pPr>
        <w:numPr>
          <w:ilvl w:val="0"/>
          <w:numId w:val="4"/>
        </w:numPr>
        <w:ind w:left="360"/>
        <w:jc w:val="both"/>
        <w:rPr>
          <w:rFonts w:ascii="Arial" w:hAnsi="Arial" w:cs="Arial"/>
          <w:lang w:val="es-CR"/>
        </w:rPr>
      </w:pPr>
      <w:r w:rsidRPr="00901698">
        <w:rPr>
          <w:rFonts w:ascii="Arial" w:hAnsi="Arial" w:cs="Arial"/>
          <w:lang w:val="es-CR"/>
        </w:rPr>
        <w:t>La huelga es un derecho establecido en la Constitución Política y así lo indica el artículo 61:</w:t>
      </w:r>
    </w:p>
    <w:p w:rsidR="00901698" w:rsidRPr="00901698" w:rsidRDefault="00901698" w:rsidP="00901698">
      <w:pPr>
        <w:ind w:right="689"/>
        <w:jc w:val="both"/>
        <w:rPr>
          <w:rFonts w:ascii="Arial" w:hAnsi="Arial" w:cs="Arial"/>
          <w:sz w:val="22"/>
          <w:szCs w:val="22"/>
          <w:lang w:val="es-CR"/>
        </w:rPr>
      </w:pPr>
    </w:p>
    <w:p w:rsidR="00901698" w:rsidRPr="00901698" w:rsidRDefault="00901698" w:rsidP="00901698">
      <w:pPr>
        <w:autoSpaceDE w:val="0"/>
        <w:autoSpaceDN w:val="0"/>
        <w:adjustRightInd w:val="0"/>
        <w:ind w:left="426"/>
        <w:rPr>
          <w:rFonts w:ascii="Arial" w:eastAsiaTheme="minorHAnsi" w:hAnsi="Arial" w:cs="Arial"/>
          <w:bCs/>
          <w:i/>
          <w:sz w:val="22"/>
          <w:szCs w:val="22"/>
          <w:lang w:eastAsia="en-US"/>
        </w:rPr>
      </w:pPr>
      <w:r w:rsidRPr="00901698">
        <w:rPr>
          <w:rFonts w:ascii="Arial" w:eastAsiaTheme="minorHAnsi" w:hAnsi="Arial" w:cs="Arial"/>
          <w:bCs/>
          <w:i/>
          <w:sz w:val="22"/>
          <w:szCs w:val="22"/>
          <w:lang w:eastAsia="en-US"/>
        </w:rPr>
        <w:t>“</w:t>
      </w:r>
      <w:proofErr w:type="gramStart"/>
      <w:r w:rsidRPr="00901698">
        <w:rPr>
          <w:rFonts w:ascii="Arial" w:eastAsiaTheme="minorHAnsi" w:hAnsi="Arial" w:cs="Arial"/>
          <w:bCs/>
          <w:i/>
          <w:sz w:val="22"/>
          <w:szCs w:val="22"/>
          <w:lang w:eastAsia="en-US"/>
        </w:rPr>
        <w:t>Artículo  61</w:t>
      </w:r>
      <w:proofErr w:type="gramEnd"/>
    </w:p>
    <w:p w:rsidR="00901698" w:rsidRPr="00901698" w:rsidRDefault="00901698" w:rsidP="00901698">
      <w:pPr>
        <w:autoSpaceDE w:val="0"/>
        <w:autoSpaceDN w:val="0"/>
        <w:adjustRightInd w:val="0"/>
        <w:ind w:left="426"/>
        <w:rPr>
          <w:rFonts w:ascii="Arial" w:eastAsiaTheme="minorHAnsi" w:hAnsi="Arial" w:cs="Arial"/>
          <w:bCs/>
          <w:i/>
          <w:sz w:val="22"/>
          <w:szCs w:val="22"/>
          <w:lang w:eastAsia="en-US"/>
        </w:rPr>
      </w:pPr>
      <w:r w:rsidRPr="00901698">
        <w:rPr>
          <w:rFonts w:ascii="Arial" w:eastAsiaTheme="minorHAnsi" w:hAnsi="Arial" w:cs="Arial"/>
          <w:bCs/>
          <w:i/>
          <w:sz w:val="22"/>
          <w:szCs w:val="22"/>
          <w:lang w:eastAsia="en-US"/>
        </w:rPr>
        <w:t>Se reconoce el derecho de los patronos al paro y el de los trabajadores a la huelga, salvo los servicios públicos, de acuerdo con la determinación que de éstos haga la ley y conforme a las regulaciones que la misma establezca, las cuales deberán desautorizar todo acto de coacción o de violencia.”</w:t>
      </w:r>
    </w:p>
    <w:p w:rsidR="00901698" w:rsidRPr="00901698" w:rsidRDefault="00901698" w:rsidP="00901698">
      <w:pPr>
        <w:autoSpaceDE w:val="0"/>
        <w:autoSpaceDN w:val="0"/>
        <w:adjustRightInd w:val="0"/>
        <w:ind w:left="426"/>
        <w:rPr>
          <w:rFonts w:ascii="Arial" w:eastAsiaTheme="minorHAnsi" w:hAnsi="Arial" w:cs="Arial"/>
          <w:sz w:val="22"/>
          <w:szCs w:val="22"/>
          <w:lang w:eastAsia="en-US"/>
        </w:rPr>
      </w:pPr>
    </w:p>
    <w:p w:rsidR="00901698" w:rsidRPr="00901698" w:rsidRDefault="00901698" w:rsidP="00901698">
      <w:pPr>
        <w:numPr>
          <w:ilvl w:val="0"/>
          <w:numId w:val="4"/>
        </w:numPr>
        <w:ind w:left="360"/>
        <w:jc w:val="both"/>
        <w:rPr>
          <w:rFonts w:ascii="Arial" w:hAnsi="Arial" w:cs="Arial"/>
          <w:lang w:val="es-CR"/>
        </w:rPr>
      </w:pPr>
      <w:r w:rsidRPr="00901698">
        <w:rPr>
          <w:rFonts w:ascii="Arial" w:hAnsi="Arial" w:cs="Arial"/>
          <w:lang w:val="es-CR"/>
        </w:rPr>
        <w:t>El compromiso de Costa Rica con el derecho a la huelga fue validado por medio de la Asamblea Legislativa, cuando ratifica el siguiente convenio:</w:t>
      </w:r>
    </w:p>
    <w:p w:rsidR="00901698" w:rsidRPr="00901698" w:rsidRDefault="00901698" w:rsidP="00901698">
      <w:pPr>
        <w:ind w:left="360"/>
        <w:jc w:val="both"/>
        <w:rPr>
          <w:rFonts w:ascii="Arial" w:hAnsi="Arial" w:cs="Arial"/>
          <w:lang w:val="es-CR"/>
        </w:rPr>
      </w:pPr>
    </w:p>
    <w:p w:rsidR="00901698" w:rsidRPr="00901698" w:rsidRDefault="00901698" w:rsidP="00901698">
      <w:pPr>
        <w:ind w:left="360"/>
        <w:jc w:val="both"/>
        <w:rPr>
          <w:rFonts w:ascii="Arial" w:hAnsi="Arial" w:cs="Arial"/>
          <w:sz w:val="22"/>
          <w:szCs w:val="22"/>
          <w:lang w:val="es-CR"/>
        </w:rPr>
      </w:pPr>
      <w:r w:rsidRPr="00901698">
        <w:rPr>
          <w:rFonts w:ascii="Arial" w:hAnsi="Arial" w:cs="Arial"/>
          <w:sz w:val="22"/>
          <w:szCs w:val="22"/>
          <w:lang w:val="es-CR"/>
        </w:rPr>
        <w:t>“</w:t>
      </w:r>
      <w:hyperlink r:id="rId8" w:history="1">
        <w:r w:rsidRPr="00901698">
          <w:rPr>
            <w:rFonts w:ascii="Arial" w:hAnsi="Arial" w:cs="Arial"/>
            <w:b/>
            <w:bCs/>
            <w:sz w:val="22"/>
            <w:szCs w:val="22"/>
            <w:shd w:val="clear" w:color="auto" w:fill="FFFFFF"/>
            <w:lang w:val="es-CR"/>
          </w:rPr>
          <w:t>C098</w:t>
        </w:r>
        <w:r w:rsidRPr="00901698">
          <w:rPr>
            <w:rFonts w:ascii="Arial" w:hAnsi="Arial" w:cs="Arial"/>
            <w:sz w:val="22"/>
            <w:szCs w:val="22"/>
            <w:shd w:val="clear" w:color="auto" w:fill="FFFFFF"/>
            <w:lang w:val="es-CR"/>
          </w:rPr>
          <w:t> - Convenio sobre el derecho de sindicación y de negociación colectiva, 1949 (núm. 98)</w:t>
        </w:r>
      </w:hyperlink>
      <w:r w:rsidRPr="00901698">
        <w:rPr>
          <w:rFonts w:ascii="Arial" w:hAnsi="Arial" w:cs="Arial"/>
          <w:sz w:val="22"/>
          <w:szCs w:val="22"/>
          <w:lang w:val="es-CR"/>
        </w:rPr>
        <w:t xml:space="preserve"> el 2 de junio d1960”, el cual está activo”</w:t>
      </w:r>
    </w:p>
    <w:p w:rsidR="00901698" w:rsidRPr="00901698" w:rsidRDefault="00901698" w:rsidP="00901698">
      <w:pPr>
        <w:ind w:left="360"/>
        <w:jc w:val="both"/>
        <w:rPr>
          <w:sz w:val="20"/>
          <w:szCs w:val="20"/>
          <w:lang w:val="es-CR"/>
        </w:rPr>
      </w:pPr>
    </w:p>
    <w:p w:rsidR="00901698" w:rsidRPr="00901698" w:rsidRDefault="00901698" w:rsidP="00901698">
      <w:pPr>
        <w:numPr>
          <w:ilvl w:val="0"/>
          <w:numId w:val="4"/>
        </w:numPr>
        <w:ind w:left="360"/>
        <w:jc w:val="both"/>
        <w:rPr>
          <w:rFonts w:ascii="Arial" w:hAnsi="Arial" w:cs="Arial"/>
          <w:lang w:val="es-CR"/>
        </w:rPr>
      </w:pPr>
      <w:r w:rsidRPr="00901698">
        <w:rPr>
          <w:rFonts w:ascii="Arial" w:hAnsi="Arial" w:cs="Arial"/>
          <w:lang w:val="es-CR"/>
        </w:rPr>
        <w:t>La legislación de Costa Rica por medio del Código de Trabajo crea las condiciones para su implementación, a partir de los siguientes artículos:</w:t>
      </w:r>
    </w:p>
    <w:p w:rsidR="00901698" w:rsidRPr="00901698" w:rsidRDefault="00901698" w:rsidP="00901698">
      <w:pPr>
        <w:ind w:right="689"/>
        <w:jc w:val="both"/>
        <w:rPr>
          <w:rFonts w:ascii="Arial" w:hAnsi="Arial" w:cs="Arial"/>
          <w:sz w:val="22"/>
          <w:szCs w:val="22"/>
          <w:lang w:val="es-CR"/>
        </w:rPr>
      </w:pPr>
    </w:p>
    <w:p w:rsidR="00901698" w:rsidRPr="00901698" w:rsidRDefault="00901698" w:rsidP="00901698">
      <w:pPr>
        <w:autoSpaceDE w:val="0"/>
        <w:autoSpaceDN w:val="0"/>
        <w:adjustRightInd w:val="0"/>
        <w:ind w:left="426" w:right="283"/>
        <w:jc w:val="both"/>
        <w:rPr>
          <w:rFonts w:ascii="Arial" w:eastAsiaTheme="minorHAnsi" w:hAnsi="Arial" w:cs="Arial"/>
          <w:bCs/>
          <w:i/>
          <w:sz w:val="22"/>
          <w:szCs w:val="22"/>
          <w:lang w:eastAsia="en-US"/>
        </w:rPr>
      </w:pPr>
      <w:r w:rsidRPr="00901698">
        <w:rPr>
          <w:rFonts w:ascii="Arial" w:eastAsiaTheme="minorHAnsi" w:hAnsi="Arial" w:cs="Arial"/>
          <w:bCs/>
          <w:i/>
          <w:sz w:val="22"/>
          <w:szCs w:val="22"/>
          <w:lang w:eastAsia="en-US"/>
        </w:rPr>
        <w:t>“ARTICULO 371.- La huelga legal es un derecho que consiste en la suspensión concertada y pacífica del trabajo, en una empresa, institución, establecimiento o centro de trabajo, acordada y ejecutada por una pluralidad de tres personas trabajadoras, como mínimo, que represente más de la mitad de los votos emitidos conforme al artículo 381, por los empleados o las empleadas involucrados en un conflicto colectivo de trabajo, para lo siguiente:</w:t>
      </w:r>
    </w:p>
    <w:p w:rsidR="00901698" w:rsidRPr="00901698" w:rsidRDefault="00901698" w:rsidP="00901698">
      <w:pPr>
        <w:autoSpaceDE w:val="0"/>
        <w:autoSpaceDN w:val="0"/>
        <w:adjustRightInd w:val="0"/>
        <w:ind w:left="426" w:right="283"/>
        <w:jc w:val="both"/>
        <w:rPr>
          <w:rFonts w:ascii="Arial" w:eastAsiaTheme="minorHAnsi" w:hAnsi="Arial" w:cs="Arial"/>
          <w:bCs/>
          <w:i/>
          <w:sz w:val="22"/>
          <w:szCs w:val="22"/>
          <w:lang w:eastAsia="en-US"/>
        </w:rPr>
      </w:pPr>
      <w:r w:rsidRPr="00901698">
        <w:rPr>
          <w:rFonts w:ascii="Arial" w:eastAsiaTheme="minorHAnsi" w:hAnsi="Arial" w:cs="Arial"/>
          <w:bCs/>
          <w:i/>
          <w:sz w:val="22"/>
          <w:szCs w:val="22"/>
          <w:lang w:eastAsia="en-US"/>
        </w:rPr>
        <w:t>a) La defensa y promoción de sus intereses económicos y sociales.</w:t>
      </w:r>
    </w:p>
    <w:p w:rsidR="00901698" w:rsidRPr="00901698" w:rsidRDefault="00901698" w:rsidP="00901698">
      <w:pPr>
        <w:autoSpaceDE w:val="0"/>
        <w:autoSpaceDN w:val="0"/>
        <w:adjustRightInd w:val="0"/>
        <w:ind w:left="426" w:right="283"/>
        <w:jc w:val="both"/>
        <w:rPr>
          <w:rFonts w:ascii="Arial" w:eastAsiaTheme="minorHAnsi" w:hAnsi="Arial" w:cs="Arial"/>
          <w:bCs/>
          <w:i/>
          <w:sz w:val="22"/>
          <w:szCs w:val="22"/>
          <w:lang w:eastAsia="en-US"/>
        </w:rPr>
      </w:pPr>
      <w:r w:rsidRPr="00901698">
        <w:rPr>
          <w:rFonts w:ascii="Arial" w:eastAsiaTheme="minorHAnsi" w:hAnsi="Arial" w:cs="Arial"/>
          <w:bCs/>
          <w:i/>
          <w:sz w:val="22"/>
          <w:szCs w:val="22"/>
          <w:lang w:eastAsia="en-US"/>
        </w:rPr>
        <w:t>b) La defensa de sus derechos en los conflictos jurídicos colectivos señalados en el artículo 386.</w:t>
      </w:r>
    </w:p>
    <w:p w:rsidR="00901698" w:rsidRPr="00901698" w:rsidRDefault="00901698" w:rsidP="00901698">
      <w:pPr>
        <w:autoSpaceDE w:val="0"/>
        <w:autoSpaceDN w:val="0"/>
        <w:adjustRightInd w:val="0"/>
        <w:ind w:left="426" w:right="283"/>
        <w:jc w:val="both"/>
        <w:rPr>
          <w:rFonts w:ascii="Arial" w:eastAsiaTheme="minorHAnsi" w:hAnsi="Arial" w:cs="Arial"/>
          <w:bCs/>
          <w:i/>
          <w:sz w:val="22"/>
          <w:szCs w:val="22"/>
          <w:lang w:eastAsia="en-US"/>
        </w:rPr>
      </w:pPr>
      <w:r w:rsidRPr="00901698">
        <w:rPr>
          <w:rFonts w:ascii="Arial" w:eastAsiaTheme="minorHAnsi" w:hAnsi="Arial" w:cs="Arial"/>
          <w:bCs/>
          <w:i/>
          <w:sz w:val="22"/>
          <w:szCs w:val="22"/>
          <w:lang w:eastAsia="en-US"/>
        </w:rPr>
        <w:t>(Modificado mediante Ley Nº 9343 del 25 de enero del 2016, publicado en el Alcance N° 6, a La Gaceta Nº 16 de 25 de enero del 2016)</w:t>
      </w:r>
    </w:p>
    <w:p w:rsidR="00901698" w:rsidRPr="00901698" w:rsidRDefault="00901698" w:rsidP="00901698">
      <w:pPr>
        <w:autoSpaceDE w:val="0"/>
        <w:autoSpaceDN w:val="0"/>
        <w:adjustRightInd w:val="0"/>
        <w:ind w:left="426"/>
        <w:rPr>
          <w:rFonts w:ascii="Arial" w:eastAsiaTheme="minorHAnsi" w:hAnsi="Arial" w:cs="Arial"/>
          <w:bCs/>
          <w:i/>
          <w:sz w:val="22"/>
          <w:szCs w:val="22"/>
          <w:lang w:eastAsia="en-US"/>
        </w:rPr>
      </w:pPr>
    </w:p>
    <w:p w:rsidR="00901698" w:rsidRPr="00901698" w:rsidRDefault="00901698" w:rsidP="00901698">
      <w:pPr>
        <w:autoSpaceDE w:val="0"/>
        <w:autoSpaceDN w:val="0"/>
        <w:adjustRightInd w:val="0"/>
        <w:ind w:left="426"/>
        <w:rPr>
          <w:rFonts w:ascii="Arial" w:eastAsiaTheme="minorHAnsi" w:hAnsi="Arial" w:cs="Arial"/>
          <w:bCs/>
          <w:i/>
          <w:sz w:val="22"/>
          <w:szCs w:val="22"/>
          <w:lang w:eastAsia="en-US"/>
        </w:rPr>
      </w:pPr>
      <w:r w:rsidRPr="00901698">
        <w:rPr>
          <w:rFonts w:ascii="Arial" w:eastAsiaTheme="minorHAnsi" w:hAnsi="Arial" w:cs="Arial"/>
          <w:bCs/>
          <w:i/>
          <w:sz w:val="22"/>
          <w:szCs w:val="22"/>
          <w:lang w:eastAsia="en-US"/>
        </w:rPr>
        <w:t>ARTÍCULO 373.- El derecho de huelga comprende la participación en las actividades</w:t>
      </w:r>
    </w:p>
    <w:p w:rsidR="00901698" w:rsidRPr="00901698" w:rsidRDefault="00901698" w:rsidP="00901698">
      <w:pPr>
        <w:autoSpaceDE w:val="0"/>
        <w:autoSpaceDN w:val="0"/>
        <w:adjustRightInd w:val="0"/>
        <w:ind w:left="426"/>
        <w:rPr>
          <w:rFonts w:ascii="Arial" w:eastAsiaTheme="minorHAnsi" w:hAnsi="Arial" w:cs="Arial"/>
          <w:bCs/>
          <w:i/>
          <w:sz w:val="22"/>
          <w:szCs w:val="22"/>
          <w:lang w:eastAsia="en-US"/>
        </w:rPr>
      </w:pPr>
      <w:r w:rsidRPr="00901698">
        <w:rPr>
          <w:rFonts w:ascii="Arial" w:eastAsiaTheme="minorHAnsi" w:hAnsi="Arial" w:cs="Arial"/>
          <w:bCs/>
          <w:i/>
          <w:sz w:val="22"/>
          <w:szCs w:val="22"/>
          <w:lang w:eastAsia="en-US"/>
        </w:rPr>
        <w:t>preparatorias que no interfieran en el desenvolvimiento normal de las labores de la empresa o centro de trabajo, de convocatoria, de elección de su modalidad, de adhesión a una huelga ya convocada o la negativa a participar en ella, de participación en su desarrollo, de desconvocatoria, así como la decisión de dar por terminada la propia participación en la huelga.(Modificado mediante Ley Nº 9343 del 25 de enero del 2016, publicado en el Alcance N° 6, a La Gaceta Nº 16 de 25 de enero del 2016)”</w:t>
      </w:r>
    </w:p>
    <w:p w:rsidR="00901698" w:rsidRPr="00901698" w:rsidRDefault="00901698" w:rsidP="00901698">
      <w:pPr>
        <w:autoSpaceDE w:val="0"/>
        <w:autoSpaceDN w:val="0"/>
        <w:adjustRightInd w:val="0"/>
        <w:ind w:left="708"/>
        <w:rPr>
          <w:rFonts w:ascii="Arial" w:eastAsiaTheme="minorHAnsi" w:hAnsi="Arial" w:cs="Arial"/>
          <w:bCs/>
          <w:i/>
          <w:sz w:val="22"/>
          <w:szCs w:val="22"/>
          <w:lang w:eastAsia="en-US"/>
        </w:rPr>
      </w:pPr>
    </w:p>
    <w:p w:rsidR="00901698" w:rsidRPr="00901698" w:rsidRDefault="00901698" w:rsidP="00901698">
      <w:pPr>
        <w:numPr>
          <w:ilvl w:val="0"/>
          <w:numId w:val="4"/>
        </w:numPr>
        <w:ind w:left="360"/>
        <w:jc w:val="both"/>
        <w:rPr>
          <w:rFonts w:ascii="Arial" w:hAnsi="Arial" w:cs="Arial"/>
          <w:lang w:val="es-CR"/>
        </w:rPr>
      </w:pPr>
      <w:r w:rsidRPr="00901698">
        <w:rPr>
          <w:rFonts w:ascii="Arial" w:hAnsi="Arial" w:cs="Arial"/>
          <w:lang w:val="es-CR"/>
        </w:rPr>
        <w:lastRenderedPageBreak/>
        <w:t>La Segunda Convención Colectiva y sus reformas del Instituto Tecnológico se integra a estos compromisos y establece lo siguiente:</w:t>
      </w:r>
    </w:p>
    <w:p w:rsidR="00901698" w:rsidRPr="00901698" w:rsidRDefault="00901698" w:rsidP="00901698">
      <w:pPr>
        <w:ind w:right="689"/>
        <w:jc w:val="both"/>
        <w:rPr>
          <w:rFonts w:ascii="Arial" w:hAnsi="Arial" w:cs="Arial"/>
          <w:lang w:val="es-CR"/>
        </w:rPr>
      </w:pPr>
    </w:p>
    <w:p w:rsidR="00901698" w:rsidRPr="00901698" w:rsidRDefault="00901698" w:rsidP="00901698">
      <w:pPr>
        <w:autoSpaceDE w:val="0"/>
        <w:autoSpaceDN w:val="0"/>
        <w:adjustRightInd w:val="0"/>
        <w:ind w:left="426"/>
        <w:rPr>
          <w:rFonts w:ascii="Arial" w:eastAsiaTheme="minorHAnsi" w:hAnsi="Arial" w:cs="Arial"/>
          <w:i/>
          <w:sz w:val="22"/>
          <w:szCs w:val="22"/>
          <w:lang w:eastAsia="en-US"/>
        </w:rPr>
      </w:pPr>
      <w:r w:rsidRPr="00901698">
        <w:rPr>
          <w:rFonts w:ascii="Arial" w:eastAsiaTheme="minorHAnsi" w:hAnsi="Arial" w:cs="Arial"/>
          <w:b/>
          <w:bCs/>
          <w:i/>
          <w:sz w:val="22"/>
          <w:szCs w:val="22"/>
          <w:lang w:eastAsia="en-US"/>
        </w:rPr>
        <w:t xml:space="preserve">“Artículo 152 </w:t>
      </w:r>
    </w:p>
    <w:p w:rsidR="00901698" w:rsidRPr="00901698" w:rsidRDefault="00901698" w:rsidP="00901698">
      <w:pPr>
        <w:ind w:left="426" w:right="689"/>
        <w:jc w:val="both"/>
        <w:rPr>
          <w:rFonts w:ascii="Arial" w:hAnsi="Arial" w:cs="Arial"/>
          <w:i/>
          <w:sz w:val="22"/>
          <w:szCs w:val="22"/>
          <w:lang w:val="es-CR"/>
        </w:rPr>
      </w:pPr>
    </w:p>
    <w:p w:rsidR="00901698" w:rsidRPr="00901698" w:rsidRDefault="00901698" w:rsidP="00901698">
      <w:pPr>
        <w:ind w:left="426" w:right="689"/>
        <w:jc w:val="both"/>
        <w:rPr>
          <w:rFonts w:ascii="Arial" w:hAnsi="Arial" w:cs="Arial"/>
          <w:i/>
          <w:sz w:val="22"/>
          <w:szCs w:val="22"/>
          <w:lang w:val="es-CR"/>
        </w:rPr>
      </w:pPr>
      <w:r w:rsidRPr="00901698">
        <w:rPr>
          <w:rFonts w:ascii="Arial" w:hAnsi="Arial" w:cs="Arial"/>
          <w:i/>
          <w:sz w:val="22"/>
          <w:szCs w:val="22"/>
          <w:lang w:val="es-CR"/>
        </w:rPr>
        <w:t>De conformidad con el artículo 61 de la Constitución Política y el inciso a del artículo 369 del Código de Trabajo, los trabajadores del Instituto, una vez agotado el procedimiento de conciliación, tendrán derecho a recurrir a la huelga en los términos establecidos en el artículo 518 del Código de Trabajo.”</w:t>
      </w:r>
    </w:p>
    <w:p w:rsidR="00901698" w:rsidRPr="00901698" w:rsidRDefault="00901698" w:rsidP="00901698">
      <w:pPr>
        <w:ind w:left="426" w:right="689"/>
        <w:jc w:val="both"/>
        <w:rPr>
          <w:rFonts w:ascii="Arial" w:hAnsi="Arial" w:cs="Arial"/>
          <w:sz w:val="22"/>
          <w:szCs w:val="22"/>
          <w:lang w:val="es-CR"/>
        </w:rPr>
      </w:pPr>
    </w:p>
    <w:p w:rsidR="00901698" w:rsidRPr="00901698" w:rsidRDefault="00901698" w:rsidP="00901698">
      <w:pPr>
        <w:keepNext/>
        <w:jc w:val="both"/>
        <w:outlineLvl w:val="0"/>
        <w:rPr>
          <w:rFonts w:ascii="Arial" w:hAnsi="Arial" w:cs="Arial"/>
          <w:b/>
          <w:bCs/>
          <w:kern w:val="32"/>
        </w:rPr>
      </w:pPr>
      <w:r w:rsidRPr="00901698">
        <w:rPr>
          <w:rFonts w:ascii="Arial" w:hAnsi="Arial" w:cs="Arial"/>
          <w:b/>
          <w:bCs/>
          <w:kern w:val="32"/>
        </w:rPr>
        <w:t>CONSIDERANDO QUE:</w:t>
      </w:r>
    </w:p>
    <w:p w:rsidR="00901698" w:rsidRPr="00901698" w:rsidRDefault="00901698" w:rsidP="00901698">
      <w:pPr>
        <w:jc w:val="both"/>
      </w:pPr>
    </w:p>
    <w:p w:rsidR="00901698" w:rsidRPr="00901698" w:rsidRDefault="00901698" w:rsidP="00901698">
      <w:pPr>
        <w:numPr>
          <w:ilvl w:val="0"/>
          <w:numId w:val="5"/>
        </w:numPr>
        <w:ind w:left="284" w:hanging="284"/>
        <w:contextualSpacing/>
        <w:jc w:val="both"/>
        <w:rPr>
          <w:rFonts w:ascii="Arial" w:hAnsi="Arial" w:cs="Arial"/>
          <w:b/>
          <w:lang w:val="es-CR"/>
        </w:rPr>
      </w:pPr>
      <w:r w:rsidRPr="00901698">
        <w:rPr>
          <w:rFonts w:ascii="Arial" w:hAnsi="Arial" w:cs="Arial"/>
          <w:lang w:val="es-CR"/>
        </w:rPr>
        <w:t>La Secretaría del Consejo Institucional recibió correo electrónico de parte de Asamblea Legislativa, dirigido al Dr. Julio C. Calvo Alvarado, en calidad de Rector de la Institución, en el cual se solicita criterio sobre el Proyecto de “Ley para brindar seguridad jurídica sobre la huelga y sus procedimientos (texto sustitutivo)” Expediente No. 21.049.</w:t>
      </w:r>
    </w:p>
    <w:p w:rsidR="00901698" w:rsidRPr="00901698" w:rsidRDefault="00901698" w:rsidP="00901698">
      <w:pPr>
        <w:ind w:left="284" w:hanging="284"/>
        <w:contextualSpacing/>
        <w:jc w:val="both"/>
        <w:rPr>
          <w:rFonts w:ascii="Arial" w:hAnsi="Arial" w:cs="Arial"/>
          <w:lang w:val="es-CR"/>
        </w:rPr>
      </w:pPr>
    </w:p>
    <w:p w:rsidR="00901698" w:rsidRPr="00901698" w:rsidRDefault="00901698" w:rsidP="00901698">
      <w:pPr>
        <w:numPr>
          <w:ilvl w:val="0"/>
          <w:numId w:val="5"/>
        </w:numPr>
        <w:ind w:left="284" w:hanging="284"/>
        <w:jc w:val="both"/>
        <w:rPr>
          <w:rFonts w:ascii="Arial" w:hAnsi="Arial" w:cs="Arial"/>
          <w:lang w:val="es-CR"/>
        </w:rPr>
      </w:pPr>
      <w:r w:rsidRPr="00901698">
        <w:rPr>
          <w:rFonts w:ascii="Arial" w:hAnsi="Arial" w:cs="Arial"/>
          <w:lang w:val="es-CR"/>
        </w:rPr>
        <w:t>La consulta de la Asamblea Legislativa fue remitida a la Comunidad Institucional y se recibieron los siguientes criterios, en cuanto al fondo del proyecto de ley:</w:t>
      </w:r>
    </w:p>
    <w:p w:rsidR="00901698" w:rsidRPr="00901698" w:rsidRDefault="00901698" w:rsidP="00901698">
      <w:pPr>
        <w:ind w:left="708"/>
        <w:rPr>
          <w:rFonts w:ascii="Arial" w:hAnsi="Arial" w:cs="Arial"/>
          <w:lang w:val="es-CR"/>
        </w:rPr>
      </w:pPr>
    </w:p>
    <w:p w:rsidR="00901698" w:rsidRPr="00901698" w:rsidRDefault="00901698" w:rsidP="00901698">
      <w:pPr>
        <w:autoSpaceDE w:val="0"/>
        <w:autoSpaceDN w:val="0"/>
        <w:adjustRightInd w:val="0"/>
        <w:ind w:left="672" w:right="-91"/>
        <w:rPr>
          <w:rFonts w:ascii="Arial" w:eastAsia="Cambria" w:hAnsi="Arial" w:cs="Arial"/>
          <w:b/>
          <w:i/>
          <w:sz w:val="22"/>
          <w:szCs w:val="22"/>
          <w:u w:val="single"/>
          <w:lang w:val="es-CR" w:eastAsia="en-US"/>
        </w:rPr>
      </w:pPr>
      <w:r w:rsidRPr="00901698">
        <w:rPr>
          <w:rFonts w:ascii="Arial" w:eastAsia="Cambria" w:hAnsi="Arial" w:cs="Arial"/>
          <w:b/>
          <w:i/>
          <w:sz w:val="22"/>
          <w:szCs w:val="22"/>
          <w:u w:val="single"/>
          <w:lang w:val="es-CR" w:eastAsia="en-US"/>
        </w:rPr>
        <w:t>Escuela de Ciencias Sociales</w:t>
      </w:r>
    </w:p>
    <w:p w:rsidR="00901698" w:rsidRPr="00901698" w:rsidRDefault="00901698" w:rsidP="00901698">
      <w:pPr>
        <w:ind w:left="672"/>
        <w:jc w:val="both"/>
        <w:rPr>
          <w:rFonts w:ascii="Arial" w:hAnsi="Arial" w:cs="Arial"/>
          <w:i/>
          <w:sz w:val="22"/>
          <w:szCs w:val="22"/>
          <w:lang w:val="es-CR"/>
        </w:rPr>
      </w:pPr>
    </w:p>
    <w:p w:rsidR="00901698" w:rsidRPr="00901698" w:rsidRDefault="00901698" w:rsidP="00901698">
      <w:pPr>
        <w:spacing w:line="240" w:lineRule="atLeast"/>
        <w:ind w:left="997" w:right="37" w:hanging="283"/>
        <w:contextualSpacing/>
        <w:jc w:val="both"/>
        <w:rPr>
          <w:rFonts w:ascii="Arial" w:hAnsi="Arial" w:cs="Arial"/>
          <w:b/>
          <w:i/>
          <w:sz w:val="22"/>
          <w:szCs w:val="22"/>
          <w:lang w:val="es-CR"/>
        </w:rPr>
      </w:pPr>
      <w:r w:rsidRPr="00901698">
        <w:rPr>
          <w:rFonts w:ascii="Arial" w:hAnsi="Arial" w:cs="Arial"/>
          <w:b/>
          <w:i/>
          <w:sz w:val="22"/>
          <w:szCs w:val="22"/>
          <w:lang w:val="es-CR"/>
        </w:rPr>
        <w:t>“II.  RECOMENDACIONES</w:t>
      </w:r>
    </w:p>
    <w:p w:rsidR="00901698" w:rsidRPr="00901698" w:rsidRDefault="00901698" w:rsidP="00901698">
      <w:pPr>
        <w:spacing w:line="240" w:lineRule="atLeast"/>
        <w:ind w:left="1381" w:right="22" w:firstLine="709"/>
        <w:contextualSpacing/>
        <w:jc w:val="both"/>
        <w:rPr>
          <w:rFonts w:ascii="Arial" w:hAnsi="Arial" w:cs="Arial"/>
          <w:i/>
          <w:sz w:val="22"/>
          <w:szCs w:val="22"/>
          <w:lang w:val="es-CR" w:eastAsia="es-CR"/>
        </w:rPr>
      </w:pPr>
    </w:p>
    <w:p w:rsidR="00901698" w:rsidRPr="00901698" w:rsidRDefault="00901698" w:rsidP="00901698">
      <w:pPr>
        <w:spacing w:line="240" w:lineRule="atLeast"/>
        <w:ind w:left="672"/>
        <w:jc w:val="both"/>
        <w:rPr>
          <w:rFonts w:ascii="Arial" w:hAnsi="Arial" w:cs="Arial"/>
          <w:i/>
          <w:sz w:val="22"/>
          <w:szCs w:val="22"/>
          <w:lang w:val="es-CR" w:eastAsia="es-CR"/>
        </w:rPr>
      </w:pPr>
      <w:r w:rsidRPr="00901698">
        <w:rPr>
          <w:rFonts w:ascii="Arial" w:hAnsi="Arial" w:cs="Arial"/>
          <w:i/>
          <w:sz w:val="22"/>
          <w:szCs w:val="22"/>
          <w:lang w:val="es-CR" w:eastAsia="es-CR"/>
        </w:rPr>
        <w:t>Eliminar, de la propuesta de reforma al artículo 379, el rebajo de los salarios por el tiempo no laborado, en el caso de las huelgas que se declaren ilegales, procederá de forma retroactiva, desde el momento de la presentación de la solicitud de declaratoria de ilegalidad por parte del patrono. Esto por ser contrario al principio de buena fe, al principio de inocencia y por poner en riesgo la presunción legal que opera respecto del salario. </w:t>
      </w:r>
    </w:p>
    <w:p w:rsidR="00901698" w:rsidRPr="00901698" w:rsidRDefault="00901698" w:rsidP="00901698">
      <w:pPr>
        <w:ind w:left="708"/>
        <w:rPr>
          <w:rFonts w:ascii="Arial" w:hAnsi="Arial" w:cs="Arial"/>
          <w:lang w:val="es-CR"/>
        </w:rPr>
      </w:pPr>
    </w:p>
    <w:p w:rsidR="00901698" w:rsidRPr="00901698" w:rsidRDefault="00901698" w:rsidP="00901698">
      <w:pPr>
        <w:spacing w:line="240" w:lineRule="atLeast"/>
        <w:ind w:left="672"/>
        <w:jc w:val="both"/>
        <w:rPr>
          <w:rFonts w:ascii="Arial" w:hAnsi="Arial" w:cs="Arial"/>
          <w:i/>
          <w:sz w:val="22"/>
          <w:szCs w:val="22"/>
          <w:lang w:val="es-CR"/>
        </w:rPr>
      </w:pPr>
      <w:r w:rsidRPr="00901698">
        <w:rPr>
          <w:rFonts w:ascii="Arial" w:hAnsi="Arial" w:cs="Arial"/>
          <w:i/>
          <w:sz w:val="22"/>
          <w:szCs w:val="22"/>
          <w:lang w:val="es-CR" w:eastAsia="es-CR"/>
        </w:rPr>
        <w:t>Eliminar, de la propuesta de reforma al artículo 379, el penúltimo párrafo, que indica “</w:t>
      </w:r>
      <w:r w:rsidRPr="00901698">
        <w:rPr>
          <w:rFonts w:ascii="Arial" w:hAnsi="Arial" w:cs="Arial"/>
          <w:i/>
          <w:iCs/>
          <w:sz w:val="22"/>
          <w:szCs w:val="22"/>
          <w:lang w:val="es-CR"/>
        </w:rPr>
        <w:t>Aparte de los casos tipificados en los dos incisos anteriores, no se permitirán ni serán consideradas como legales, ningún otro tipo de huelgas. Serán ilegales las huelgas políticas de cualquier índole o aquellas que no tengan conexión directa con la relación de empleo o incumplimientos laborales imputables al patrono</w:t>
      </w:r>
      <w:r w:rsidRPr="00901698">
        <w:rPr>
          <w:rFonts w:ascii="Arial" w:hAnsi="Arial" w:cs="Arial"/>
          <w:i/>
          <w:sz w:val="22"/>
          <w:szCs w:val="22"/>
          <w:lang w:val="es-CR" w:eastAsia="es-CR"/>
        </w:rPr>
        <w:t xml:space="preserve">”, esto por ser contrario al </w:t>
      </w:r>
      <w:r w:rsidRPr="00901698">
        <w:rPr>
          <w:rFonts w:ascii="Arial" w:hAnsi="Arial" w:cs="Arial"/>
          <w:b/>
          <w:i/>
          <w:sz w:val="22"/>
          <w:szCs w:val="22"/>
          <w:lang w:val="es-CR"/>
        </w:rPr>
        <w:t>principio de progresividad</w:t>
      </w:r>
      <w:r w:rsidRPr="00901698">
        <w:rPr>
          <w:rFonts w:ascii="Arial" w:hAnsi="Arial" w:cs="Arial"/>
          <w:i/>
          <w:sz w:val="22"/>
          <w:szCs w:val="22"/>
          <w:lang w:val="es-CR"/>
        </w:rPr>
        <w:t>, que busca el aumento en cantidad o perfección, progreso, desarrollo, superación, mejoramiento, en el caso en particular, en beneficio de los trabajadores y que ha sido reconocido y aplicado jurisprudencialmente por la Sala Constitucional.</w:t>
      </w:r>
    </w:p>
    <w:p w:rsidR="00901698" w:rsidRPr="00901698" w:rsidRDefault="00901698" w:rsidP="00901698">
      <w:pPr>
        <w:ind w:left="708"/>
        <w:rPr>
          <w:rFonts w:ascii="Arial" w:hAnsi="Arial" w:cs="Arial"/>
          <w:lang w:val="es-CR"/>
        </w:rPr>
      </w:pPr>
    </w:p>
    <w:p w:rsidR="00901698" w:rsidRPr="00901698" w:rsidRDefault="00901698" w:rsidP="00901698">
      <w:pPr>
        <w:spacing w:line="240" w:lineRule="atLeast"/>
        <w:ind w:left="672"/>
        <w:jc w:val="both"/>
        <w:rPr>
          <w:rFonts w:ascii="Arial" w:hAnsi="Arial" w:cs="Arial"/>
          <w:i/>
          <w:sz w:val="22"/>
          <w:szCs w:val="22"/>
          <w:lang w:val="es-CR" w:eastAsia="es-CR"/>
        </w:rPr>
      </w:pPr>
      <w:r w:rsidRPr="00901698">
        <w:rPr>
          <w:rFonts w:ascii="Arial" w:hAnsi="Arial" w:cs="Arial"/>
          <w:i/>
          <w:sz w:val="22"/>
          <w:szCs w:val="22"/>
          <w:lang w:val="es-CR" w:eastAsia="es-CR"/>
        </w:rPr>
        <w:t>Eliminar de la propuesta de reforma, el cambio pretendido al artículo 19 de la Ley de Notificaciones Judiciales en su inciso a), pues ese artículo trata sobre las notificaciones a personas físicas, y los sindicatos no son personas físicas sino jurídicas, por lo que pareciera lo correcto introducir esa reforma en el artículo 20 de la misma ley, el cual trata sobre las notificaciones a personas jurídicas.”</w:t>
      </w:r>
    </w:p>
    <w:p w:rsidR="00901698" w:rsidRPr="00901698" w:rsidRDefault="00901698" w:rsidP="00901698">
      <w:pPr>
        <w:jc w:val="both"/>
        <w:rPr>
          <w:rFonts w:ascii="Arial" w:hAnsi="Arial" w:cs="Arial"/>
          <w:i/>
          <w:sz w:val="22"/>
          <w:szCs w:val="22"/>
          <w:lang w:val="es-CR"/>
        </w:rPr>
      </w:pPr>
    </w:p>
    <w:p w:rsidR="00901698" w:rsidRPr="00901698" w:rsidRDefault="00901698" w:rsidP="00901698">
      <w:pPr>
        <w:autoSpaceDE w:val="0"/>
        <w:autoSpaceDN w:val="0"/>
        <w:adjustRightInd w:val="0"/>
        <w:ind w:left="672" w:right="-91"/>
        <w:rPr>
          <w:rFonts w:ascii="Arial" w:eastAsia="Cambria" w:hAnsi="Arial" w:cs="Arial"/>
          <w:b/>
          <w:i/>
          <w:sz w:val="22"/>
          <w:szCs w:val="22"/>
          <w:u w:val="single"/>
          <w:lang w:val="es-CR" w:eastAsia="en-US"/>
        </w:rPr>
      </w:pPr>
      <w:r w:rsidRPr="00901698">
        <w:rPr>
          <w:rFonts w:ascii="Arial" w:eastAsia="Cambria" w:hAnsi="Arial" w:cs="Arial"/>
          <w:b/>
          <w:i/>
          <w:sz w:val="22"/>
          <w:szCs w:val="22"/>
          <w:u w:val="single"/>
          <w:lang w:val="es-CR" w:eastAsia="en-US"/>
        </w:rPr>
        <w:t>Escuela de Idiomas y Ciencias Sociales</w:t>
      </w:r>
    </w:p>
    <w:p w:rsidR="00901698" w:rsidRPr="00901698" w:rsidRDefault="00901698" w:rsidP="00901698">
      <w:pPr>
        <w:ind w:left="672"/>
        <w:jc w:val="both"/>
        <w:rPr>
          <w:rFonts w:ascii="Arial" w:hAnsi="Arial" w:cs="Arial"/>
          <w:i/>
          <w:sz w:val="22"/>
          <w:szCs w:val="22"/>
          <w:lang w:val="es-CR"/>
        </w:rPr>
      </w:pPr>
    </w:p>
    <w:p w:rsidR="00901698" w:rsidRPr="00901698" w:rsidRDefault="00901698" w:rsidP="00901698">
      <w:pPr>
        <w:autoSpaceDE w:val="0"/>
        <w:autoSpaceDN w:val="0"/>
        <w:adjustRightInd w:val="0"/>
        <w:ind w:left="567"/>
        <w:jc w:val="both"/>
        <w:rPr>
          <w:rFonts w:ascii="Arial" w:eastAsiaTheme="minorHAnsi" w:hAnsi="Arial" w:cs="Arial"/>
          <w:i/>
          <w:sz w:val="22"/>
          <w:szCs w:val="22"/>
          <w:lang w:val="es-CR" w:eastAsia="en-US"/>
        </w:rPr>
      </w:pPr>
      <w:r w:rsidRPr="00901698">
        <w:rPr>
          <w:rFonts w:ascii="Arial" w:eastAsiaTheme="minorHAnsi" w:hAnsi="Arial" w:cs="Arial"/>
          <w:i/>
          <w:sz w:val="22"/>
          <w:szCs w:val="22"/>
          <w:lang w:eastAsia="en-US"/>
        </w:rPr>
        <w:t>“</w:t>
      </w:r>
      <w:r w:rsidRPr="00901698">
        <w:rPr>
          <w:rFonts w:ascii="Arial" w:eastAsiaTheme="minorHAnsi" w:hAnsi="Arial" w:cs="Arial"/>
          <w:i/>
          <w:sz w:val="22"/>
          <w:szCs w:val="22"/>
          <w:lang w:val="es-CR" w:eastAsia="en-US"/>
        </w:rPr>
        <w:t xml:space="preserve">Instar a las autoridades legislativas a no aprobar el presente proyecto, abocándose a la redacción de una versión que subsane los errores detectados, respete los derechos fundamentales entre esos el derecho a la huelga, el debido proceso, los plazos y medios </w:t>
      </w:r>
      <w:r w:rsidRPr="00901698">
        <w:rPr>
          <w:rFonts w:ascii="Arial" w:eastAsiaTheme="minorHAnsi" w:hAnsi="Arial" w:cs="Arial"/>
          <w:i/>
          <w:sz w:val="22"/>
          <w:szCs w:val="22"/>
          <w:lang w:val="es-CR" w:eastAsia="en-US"/>
        </w:rPr>
        <w:lastRenderedPageBreak/>
        <w:t xml:space="preserve">de notificación adecuados y el derecho de defensa, acate los lineamientos y convenios suscritos con la OIT y mantenga mecanismos democráticos para la gestión del descontento social, canalizándolos a vías adecuadas. Manifestarse en favor del derecho a la huelga, aún en su versión de huelga política, como un mecanismo para la manifestación del descontento social en una democracia. </w:t>
      </w:r>
    </w:p>
    <w:p w:rsidR="00901698" w:rsidRPr="00901698" w:rsidRDefault="00901698" w:rsidP="00901698">
      <w:pPr>
        <w:ind w:left="708"/>
        <w:rPr>
          <w:rFonts w:ascii="Arial" w:eastAsiaTheme="minorHAnsi" w:hAnsi="Arial" w:cs="Arial"/>
          <w:i/>
          <w:sz w:val="22"/>
          <w:szCs w:val="22"/>
          <w:lang w:val="es-CR" w:eastAsia="en-US"/>
        </w:rPr>
      </w:pPr>
      <w:r w:rsidRPr="00901698">
        <w:rPr>
          <w:rFonts w:ascii="Arial" w:eastAsiaTheme="minorHAnsi" w:hAnsi="Arial" w:cs="Arial"/>
          <w:i/>
          <w:sz w:val="22"/>
          <w:szCs w:val="22"/>
          <w:lang w:val="es-CR" w:eastAsia="en-US"/>
        </w:rPr>
        <w:t>Además, instar vehementemente a mantener siempre la mira en los artículos 84 y 88 de la constitución política que resguardan la autonomía universitaria y la escucha a los Consejos Universitarios.”</w:t>
      </w:r>
    </w:p>
    <w:p w:rsidR="00901698" w:rsidRPr="00901698" w:rsidRDefault="00901698" w:rsidP="00901698">
      <w:pPr>
        <w:ind w:left="708"/>
        <w:rPr>
          <w:rFonts w:ascii="Arial" w:eastAsiaTheme="minorHAnsi" w:hAnsi="Arial" w:cs="Arial"/>
          <w:i/>
          <w:sz w:val="22"/>
          <w:szCs w:val="22"/>
          <w:lang w:val="es-CR" w:eastAsia="en-US"/>
        </w:rPr>
      </w:pPr>
    </w:p>
    <w:p w:rsidR="00901698" w:rsidRPr="00901698" w:rsidRDefault="00901698" w:rsidP="00901698">
      <w:pPr>
        <w:autoSpaceDE w:val="0"/>
        <w:autoSpaceDN w:val="0"/>
        <w:adjustRightInd w:val="0"/>
        <w:ind w:left="708" w:right="-91"/>
        <w:jc w:val="both"/>
        <w:rPr>
          <w:rFonts w:ascii="Arial" w:eastAsia="Cambria" w:hAnsi="Arial" w:cs="Arial"/>
          <w:b/>
          <w:i/>
          <w:sz w:val="22"/>
          <w:szCs w:val="22"/>
          <w:u w:val="single"/>
          <w:lang w:val="es-CR" w:eastAsia="en-US"/>
        </w:rPr>
      </w:pPr>
      <w:r w:rsidRPr="00901698">
        <w:rPr>
          <w:rFonts w:ascii="Arial" w:eastAsia="Cambria" w:hAnsi="Arial" w:cs="Arial"/>
          <w:b/>
          <w:i/>
          <w:sz w:val="22"/>
          <w:szCs w:val="22"/>
          <w:u w:val="single"/>
          <w:lang w:val="es-CR" w:eastAsia="en-US"/>
        </w:rPr>
        <w:t>Asociación de Funcionarios del ITCR</w:t>
      </w:r>
    </w:p>
    <w:p w:rsidR="00901698" w:rsidRPr="00901698" w:rsidRDefault="00901698" w:rsidP="00901698">
      <w:pPr>
        <w:ind w:left="708"/>
        <w:jc w:val="both"/>
        <w:rPr>
          <w:rFonts w:ascii="Arial" w:eastAsiaTheme="minorHAnsi" w:hAnsi="Arial" w:cs="Arial"/>
          <w:sz w:val="22"/>
          <w:szCs w:val="22"/>
          <w:lang w:val="es-CR" w:eastAsia="en-US"/>
        </w:rPr>
      </w:pPr>
    </w:p>
    <w:p w:rsidR="00901698" w:rsidRPr="00901698" w:rsidRDefault="00901698" w:rsidP="00901698">
      <w:pPr>
        <w:ind w:left="708"/>
        <w:jc w:val="both"/>
        <w:rPr>
          <w:rFonts w:ascii="Arial" w:hAnsi="Arial" w:cs="Arial"/>
          <w:i/>
          <w:sz w:val="22"/>
          <w:szCs w:val="22"/>
          <w:lang w:val="es-CR"/>
        </w:rPr>
      </w:pPr>
      <w:r w:rsidRPr="00901698">
        <w:rPr>
          <w:rFonts w:ascii="Arial" w:hAnsi="Arial" w:cs="Arial"/>
          <w:i/>
          <w:sz w:val="22"/>
          <w:szCs w:val="22"/>
          <w:lang w:val="es-CR"/>
        </w:rPr>
        <w:t>“Tomando en consideración que antes de aprobar este Proyecto de Ley No. 21.049, el cual consideramos que perjudica y violenta los derechos humanos, y que están consignados en la Declaración Universal de los Derechos Humanos, del 10 de diciembre de 1948, es necesario recurrir a un exhaustivo análisis total sobre esta Ley.”</w:t>
      </w:r>
    </w:p>
    <w:p w:rsidR="00901698" w:rsidRPr="00901698" w:rsidRDefault="00901698" w:rsidP="00901698">
      <w:pPr>
        <w:ind w:left="708"/>
        <w:jc w:val="both"/>
        <w:rPr>
          <w:rFonts w:ascii="Arial" w:hAnsi="Arial" w:cs="Arial"/>
          <w:i/>
          <w:sz w:val="22"/>
          <w:szCs w:val="22"/>
          <w:lang w:val="es-CR"/>
        </w:rPr>
      </w:pPr>
    </w:p>
    <w:p w:rsidR="00901698" w:rsidRPr="00901698" w:rsidRDefault="00901698" w:rsidP="00901698">
      <w:pPr>
        <w:autoSpaceDE w:val="0"/>
        <w:autoSpaceDN w:val="0"/>
        <w:adjustRightInd w:val="0"/>
        <w:ind w:left="708" w:right="-91"/>
        <w:jc w:val="both"/>
        <w:rPr>
          <w:rFonts w:ascii="Arial" w:hAnsi="Arial" w:cs="Arial"/>
          <w:i/>
          <w:lang w:val="es-CR"/>
        </w:rPr>
      </w:pPr>
      <w:r w:rsidRPr="00901698">
        <w:rPr>
          <w:rFonts w:ascii="Arial" w:eastAsia="Cambria" w:hAnsi="Arial" w:cs="Arial"/>
          <w:lang w:eastAsia="en-US"/>
        </w:rPr>
        <w:t xml:space="preserve">Se adjunta criterio sobre el </w:t>
      </w:r>
      <w:r w:rsidRPr="00901698">
        <w:rPr>
          <w:rFonts w:ascii="Arial" w:hAnsi="Arial" w:cs="Arial"/>
          <w:lang w:val="es-CR"/>
        </w:rPr>
        <w:t xml:space="preserve">Proyecto de “Ley para brindar seguridad jurídica sobre la huelga y sus </w:t>
      </w:r>
      <w:proofErr w:type="gramStart"/>
      <w:r w:rsidRPr="00901698">
        <w:rPr>
          <w:rFonts w:ascii="Arial" w:hAnsi="Arial" w:cs="Arial"/>
          <w:lang w:val="es-CR"/>
        </w:rPr>
        <w:t>proce</w:t>
      </w:r>
      <w:r>
        <w:rPr>
          <w:rFonts w:ascii="Arial" w:hAnsi="Arial" w:cs="Arial"/>
          <w:lang w:val="es-CR"/>
        </w:rPr>
        <w:t>dimientos  (</w:t>
      </w:r>
      <w:proofErr w:type="gramEnd"/>
      <w:r>
        <w:rPr>
          <w:rFonts w:ascii="Arial" w:hAnsi="Arial" w:cs="Arial"/>
          <w:lang w:val="es-CR"/>
        </w:rPr>
        <w:t>texto sustitutivo)”,</w:t>
      </w:r>
      <w:r w:rsidRPr="00901698">
        <w:rPr>
          <w:rFonts w:ascii="Arial" w:hAnsi="Arial" w:cs="Arial"/>
          <w:lang w:val="es-CR"/>
        </w:rPr>
        <w:t xml:space="preserve"> Expediente No. 21.049, remitido </w:t>
      </w:r>
      <w:r w:rsidRPr="00901698">
        <w:rPr>
          <w:rFonts w:ascii="Arial" w:eastAsia="Cambria" w:hAnsi="Arial" w:cs="Arial"/>
          <w:lang w:eastAsia="en-US"/>
        </w:rPr>
        <w:t>por la Sra. Kattia Morales Mora, Secretaria General de la AFITEC, en atención a la consulta enviada por la Sra. Noemy Montero Guerrero, Jefa de Área de la Asamblea Legislativa.</w:t>
      </w:r>
    </w:p>
    <w:p w:rsidR="00901698" w:rsidRPr="00901698" w:rsidRDefault="00901698" w:rsidP="00901698">
      <w:pPr>
        <w:ind w:left="708"/>
        <w:rPr>
          <w:rFonts w:ascii="Arial" w:hAnsi="Arial" w:cs="Arial"/>
          <w:lang w:val="es-CR"/>
        </w:rPr>
      </w:pPr>
    </w:p>
    <w:p w:rsidR="00901698" w:rsidRPr="00901698" w:rsidRDefault="00901698" w:rsidP="00901698">
      <w:pPr>
        <w:keepNext/>
        <w:keepLines/>
        <w:spacing w:before="40"/>
        <w:outlineLvl w:val="1"/>
        <w:rPr>
          <w:rFonts w:ascii="Arial" w:eastAsiaTheme="majorEastAsia" w:hAnsi="Arial" w:cs="Arial"/>
          <w:b/>
          <w:bCs/>
          <w:kern w:val="32"/>
        </w:rPr>
      </w:pPr>
      <w:r w:rsidRPr="00901698">
        <w:rPr>
          <w:rFonts w:ascii="Arial" w:hAnsi="Arial" w:cs="Arial"/>
          <w:b/>
          <w:bCs/>
          <w:kern w:val="32"/>
        </w:rPr>
        <w:t>SE</w:t>
      </w:r>
      <w:r>
        <w:rPr>
          <w:rFonts w:ascii="Arial" w:hAnsi="Arial" w:cs="Arial"/>
          <w:b/>
          <w:bCs/>
          <w:kern w:val="32"/>
        </w:rPr>
        <w:t xml:space="preserve"> ACUERDA</w:t>
      </w:r>
      <w:r w:rsidRPr="00901698">
        <w:rPr>
          <w:rFonts w:ascii="Arial" w:hAnsi="Arial" w:cs="Arial"/>
          <w:b/>
          <w:bCs/>
          <w:kern w:val="32"/>
        </w:rPr>
        <w:t>:</w:t>
      </w:r>
    </w:p>
    <w:p w:rsidR="00901698" w:rsidRPr="00901698" w:rsidRDefault="00901698" w:rsidP="00901698"/>
    <w:p w:rsidR="00901698" w:rsidRPr="00901698" w:rsidRDefault="00901698" w:rsidP="00901698">
      <w:pPr>
        <w:numPr>
          <w:ilvl w:val="0"/>
          <w:numId w:val="6"/>
        </w:numPr>
        <w:ind w:left="426" w:hanging="426"/>
        <w:jc w:val="both"/>
        <w:rPr>
          <w:rFonts w:ascii="Arial" w:eastAsia="Cambria" w:hAnsi="Arial" w:cs="Arial"/>
          <w:lang w:eastAsia="en-US"/>
        </w:rPr>
      </w:pPr>
      <w:r w:rsidRPr="00901698">
        <w:rPr>
          <w:rFonts w:ascii="Arial" w:eastAsia="Cambria" w:hAnsi="Arial" w:cs="Arial"/>
          <w:lang w:eastAsia="en-US"/>
        </w:rPr>
        <w:t>Instar a la Asamblea Legislativa que, previo a cualquier formulación y aprobación del texto legislativo, se considere:</w:t>
      </w:r>
    </w:p>
    <w:p w:rsidR="00901698" w:rsidRPr="00901698" w:rsidRDefault="00901698" w:rsidP="00901698">
      <w:pPr>
        <w:ind w:left="426"/>
        <w:jc w:val="both"/>
        <w:rPr>
          <w:rFonts w:ascii="Arial" w:eastAsia="Cambria" w:hAnsi="Arial" w:cs="Arial"/>
          <w:lang w:eastAsia="en-US"/>
        </w:rPr>
      </w:pPr>
    </w:p>
    <w:p w:rsidR="00901698" w:rsidRPr="00901698" w:rsidRDefault="00901698" w:rsidP="00901698">
      <w:pPr>
        <w:numPr>
          <w:ilvl w:val="1"/>
          <w:numId w:val="6"/>
        </w:numPr>
        <w:jc w:val="both"/>
        <w:rPr>
          <w:rFonts w:ascii="Arial" w:eastAsia="Cambria" w:hAnsi="Arial" w:cs="Arial"/>
          <w:lang w:eastAsia="en-US"/>
        </w:rPr>
      </w:pPr>
      <w:r w:rsidRPr="00901698">
        <w:rPr>
          <w:rFonts w:ascii="Arial" w:eastAsia="Cambria" w:hAnsi="Arial" w:cs="Arial"/>
          <w:lang w:eastAsia="en-US"/>
        </w:rPr>
        <w:t>Que,</w:t>
      </w:r>
      <w:r w:rsidRPr="00901698">
        <w:rPr>
          <w:rFonts w:ascii="Arial" w:eastAsia="Cambria" w:hAnsi="Arial" w:cs="Arial"/>
          <w:lang w:eastAsia="en-US"/>
        </w:rPr>
        <w:t xml:space="preserve"> en materia propia del DERECHO DE HUELGA, deben analizarse de previo y respetarse, por su especialidad y jerarquía, las normas y pronunciamientos de acatamiento obligatorio de rango supranacional y constitucional.</w:t>
      </w:r>
    </w:p>
    <w:p w:rsidR="00901698" w:rsidRPr="00901698" w:rsidRDefault="00901698" w:rsidP="00901698">
      <w:pPr>
        <w:ind w:left="1440"/>
        <w:jc w:val="both"/>
        <w:rPr>
          <w:rFonts w:ascii="Arial" w:eastAsia="Cambria" w:hAnsi="Arial" w:cs="Arial"/>
          <w:lang w:eastAsia="en-US"/>
        </w:rPr>
      </w:pPr>
    </w:p>
    <w:p w:rsidR="00901698" w:rsidRPr="00901698" w:rsidRDefault="00901698" w:rsidP="00901698">
      <w:pPr>
        <w:numPr>
          <w:ilvl w:val="1"/>
          <w:numId w:val="6"/>
        </w:numPr>
        <w:jc w:val="both"/>
        <w:rPr>
          <w:rFonts w:ascii="Arial" w:eastAsia="Cambria" w:hAnsi="Arial" w:cs="Arial"/>
          <w:lang w:eastAsia="en-US"/>
        </w:rPr>
      </w:pPr>
      <w:r w:rsidRPr="00901698">
        <w:rPr>
          <w:rFonts w:ascii="Arial" w:eastAsia="Cambria" w:hAnsi="Arial" w:cs="Arial"/>
          <w:lang w:eastAsia="en-US"/>
        </w:rPr>
        <w:t>Que en cuanto a contenido de la Ley, se solicita tomar nota de las observaciones que fueron presentadas por la Asociación de Funcionarios del Instituto Tecnológico de Costa Rica, el día 3 de junio del 2019 dirigido a la Sra. Noemy Montero Guerrero, Jefa de Área de la Asamblea Legislativa y enviado por la Sra. Kattia Morales Mora, Secretaria General de la AFITEC.</w:t>
      </w:r>
    </w:p>
    <w:p w:rsidR="00901698" w:rsidRPr="00901698" w:rsidRDefault="00901698" w:rsidP="00901698">
      <w:pPr>
        <w:ind w:left="708"/>
        <w:rPr>
          <w:rFonts w:ascii="Arial" w:eastAsia="Cambria" w:hAnsi="Arial" w:cs="Arial"/>
          <w:lang w:eastAsia="en-US"/>
        </w:rPr>
      </w:pPr>
    </w:p>
    <w:p w:rsidR="00901698" w:rsidRPr="00901698" w:rsidRDefault="00901698" w:rsidP="00901698">
      <w:pPr>
        <w:numPr>
          <w:ilvl w:val="1"/>
          <w:numId w:val="6"/>
        </w:numPr>
        <w:jc w:val="both"/>
        <w:rPr>
          <w:rFonts w:ascii="Arial" w:eastAsia="Cambria" w:hAnsi="Arial" w:cs="Arial"/>
          <w:lang w:eastAsia="en-US"/>
        </w:rPr>
      </w:pPr>
      <w:r w:rsidRPr="00901698">
        <w:rPr>
          <w:rFonts w:ascii="Arial" w:eastAsia="Cambria" w:hAnsi="Arial" w:cs="Arial"/>
          <w:lang w:eastAsia="en-US"/>
        </w:rPr>
        <w:t xml:space="preserve">Que se mantengan mecanismos democráticos para la gestión del descontento social, canalizándolos a vías adecuadas de diálogo y de consenso. </w:t>
      </w:r>
    </w:p>
    <w:p w:rsidR="00901698" w:rsidRPr="00901698" w:rsidRDefault="00901698" w:rsidP="00901698">
      <w:pPr>
        <w:ind w:left="708"/>
        <w:rPr>
          <w:rFonts w:ascii="Arial" w:eastAsia="Cambria" w:hAnsi="Arial" w:cs="Arial"/>
          <w:lang w:eastAsia="en-US"/>
        </w:rPr>
      </w:pPr>
    </w:p>
    <w:p w:rsidR="00901698" w:rsidRPr="00901698" w:rsidRDefault="00901698" w:rsidP="00901698">
      <w:pPr>
        <w:numPr>
          <w:ilvl w:val="1"/>
          <w:numId w:val="6"/>
        </w:numPr>
        <w:jc w:val="both"/>
        <w:rPr>
          <w:rFonts w:ascii="Arial" w:eastAsia="Cambria" w:hAnsi="Arial" w:cs="Arial"/>
          <w:lang w:eastAsia="en-US"/>
        </w:rPr>
      </w:pPr>
      <w:r w:rsidRPr="00901698">
        <w:rPr>
          <w:rFonts w:ascii="Arial" w:eastAsia="Cambria" w:hAnsi="Arial" w:cs="Arial"/>
          <w:lang w:eastAsia="en-US"/>
        </w:rPr>
        <w:t xml:space="preserve">La manifestación en favor del derecho a la huelga, aún en su versión de huelga política, como un mecanismo para la expresión del descontento social en una democracia. </w:t>
      </w:r>
    </w:p>
    <w:p w:rsidR="00901698" w:rsidRPr="00901698" w:rsidRDefault="00901698" w:rsidP="00901698">
      <w:pPr>
        <w:ind w:left="1440"/>
        <w:jc w:val="both"/>
        <w:rPr>
          <w:rFonts w:ascii="Arial" w:eastAsia="Cambria" w:hAnsi="Arial" w:cs="Arial"/>
          <w:lang w:eastAsia="en-US"/>
        </w:rPr>
      </w:pPr>
    </w:p>
    <w:p w:rsidR="00901698" w:rsidRPr="00901698" w:rsidRDefault="00901698" w:rsidP="00901698">
      <w:pPr>
        <w:numPr>
          <w:ilvl w:val="1"/>
          <w:numId w:val="6"/>
        </w:numPr>
        <w:jc w:val="both"/>
        <w:rPr>
          <w:rFonts w:ascii="Arial" w:eastAsia="Cambria" w:hAnsi="Arial" w:cs="Arial"/>
          <w:lang w:eastAsia="en-US"/>
        </w:rPr>
      </w:pPr>
      <w:r w:rsidRPr="00901698">
        <w:rPr>
          <w:rFonts w:ascii="Arial" w:eastAsia="Cambria" w:hAnsi="Arial" w:cs="Arial"/>
          <w:lang w:eastAsia="en-US"/>
        </w:rPr>
        <w:t>Que se debe mantener siempre la mira en los artículos 84 y 88 de la Constitución Política, que resguardan la autonomía universitaria y la escucha a los Consejos Universitarios.</w:t>
      </w:r>
    </w:p>
    <w:p w:rsidR="00901698" w:rsidRPr="00901698" w:rsidRDefault="00901698" w:rsidP="00901698">
      <w:pPr>
        <w:ind w:left="1440"/>
        <w:jc w:val="both"/>
        <w:rPr>
          <w:rFonts w:ascii="Arial" w:eastAsia="Cambria" w:hAnsi="Arial" w:cs="Arial"/>
          <w:lang w:eastAsia="en-US"/>
        </w:rPr>
      </w:pPr>
    </w:p>
    <w:p w:rsidR="00901698" w:rsidRPr="00901698" w:rsidRDefault="00901698" w:rsidP="007742A1">
      <w:pPr>
        <w:numPr>
          <w:ilvl w:val="0"/>
          <w:numId w:val="6"/>
        </w:numPr>
        <w:ind w:left="426" w:hanging="426"/>
        <w:jc w:val="both"/>
        <w:rPr>
          <w:rFonts w:ascii="Arial" w:eastAsia="Cambria" w:hAnsi="Arial" w:cs="Arial"/>
          <w:sz w:val="32"/>
          <w:lang w:eastAsia="en-US"/>
        </w:rPr>
      </w:pPr>
      <w:r w:rsidRPr="00901698">
        <w:rPr>
          <w:rFonts w:ascii="Arial" w:hAnsi="Arial" w:cs="Arial"/>
          <w:szCs w:val="20"/>
          <w:lang w:val="es-CR" w:eastAsia="es-CR"/>
        </w:rPr>
        <w:lastRenderedPageBreak/>
        <w:t>Indicar</w:t>
      </w:r>
      <w:r w:rsidRPr="00901698">
        <w:rPr>
          <w:rFonts w:ascii="Arial" w:hAnsi="Arial" w:cs="Arial"/>
          <w:szCs w:val="20"/>
          <w:lang w:val="es-CR"/>
        </w:rPr>
        <w:t xml:space="preserve"> que contra este acuerdo podrá interponerse recurso de revocatoria ante este consejo o de apelación ante la Asamblea Institucional </w:t>
      </w:r>
      <w:r w:rsidRPr="00901698">
        <w:rPr>
          <w:rFonts w:ascii="Arial" w:eastAsia="Cambria" w:hAnsi="Arial" w:cs="Arial"/>
          <w:szCs w:val="20"/>
          <w:lang w:val="es-CR" w:eastAsia="es-CR"/>
        </w:rPr>
        <w:t>Representativa</w:t>
      </w:r>
      <w:r w:rsidRPr="00901698">
        <w:rPr>
          <w:rFonts w:ascii="Arial" w:hAnsi="Arial" w:cs="Arial"/>
          <w:szCs w:val="20"/>
          <w:lang w:val="es-CR"/>
        </w:rPr>
        <w:t xml:space="preserve">, o los extraordinarios </w:t>
      </w:r>
      <w:r w:rsidRPr="00901698">
        <w:rPr>
          <w:rFonts w:ascii="Arial" w:eastAsia="Calibri" w:hAnsi="Arial" w:cs="Arial"/>
          <w:szCs w:val="20"/>
          <w:lang w:val="es-CR" w:eastAsia="en-US"/>
        </w:rPr>
        <w:t>de</w:t>
      </w:r>
      <w:r w:rsidRPr="00901698">
        <w:rPr>
          <w:rFonts w:ascii="Arial" w:hAnsi="Arial" w:cs="Arial"/>
          <w:szCs w:val="20"/>
          <w:lang w:val="es-CR"/>
        </w:rPr>
        <w:t xml:space="preserve"> aclaración o adición, en el plazo máximo de cinco días hábiles posteriores a la notificación del acuerdo. Por así haberlo establecido la Asamblea Institucional Represe</w:t>
      </w:r>
      <w:r w:rsidRPr="00901698">
        <w:rPr>
          <w:rFonts w:ascii="Arial" w:eastAsia="Calibri" w:hAnsi="Arial" w:cs="Arial"/>
          <w:szCs w:val="20"/>
          <w:lang w:val="es-CR"/>
        </w:rPr>
        <w:t>n</w:t>
      </w:r>
      <w:r w:rsidRPr="00901698">
        <w:rPr>
          <w:rFonts w:ascii="Arial" w:hAnsi="Arial" w:cs="Arial"/>
          <w:szCs w:val="20"/>
          <w:lang w:val="es-CR"/>
        </w:rPr>
        <w:t>tativa, es potestativo del recurrente interponer ambos recursos o uno solo de ellos, sin que puedan las autoridades recurridas desestimar o rechazar un recurso, porque el recurrente no haya interpuesto el recurso previo.</w:t>
      </w:r>
    </w:p>
    <w:p w:rsidR="00C224C8" w:rsidRPr="00C224C8" w:rsidRDefault="00C224C8" w:rsidP="00901698">
      <w:pPr>
        <w:ind w:right="616"/>
        <w:jc w:val="both"/>
        <w:rPr>
          <w:rFonts w:ascii="Arial" w:eastAsia="SimSun" w:hAnsi="Arial" w:cs="Arial"/>
          <w:i/>
          <w:iCs/>
          <w:color w:val="000000" w:themeColor="text1"/>
          <w:lang w:val="es-ES_tradnl" w:eastAsia="en-US"/>
        </w:rPr>
      </w:pPr>
    </w:p>
    <w:p w:rsidR="005166A5" w:rsidRDefault="00BB6A5E" w:rsidP="00901698">
      <w:pPr>
        <w:numPr>
          <w:ilvl w:val="0"/>
          <w:numId w:val="6"/>
        </w:numPr>
        <w:ind w:left="426" w:hanging="426"/>
        <w:jc w:val="both"/>
        <w:rPr>
          <w:rFonts w:ascii="Arial" w:hAnsi="Arial" w:cs="Arial"/>
          <w:b/>
          <w:sz w:val="22"/>
          <w:szCs w:val="22"/>
          <w:lang w:val="es-CR"/>
        </w:rPr>
      </w:pPr>
      <w:r w:rsidRPr="00836B60">
        <w:rPr>
          <w:rFonts w:ascii="Arial" w:eastAsia="Cambria" w:hAnsi="Arial" w:cs="Arial"/>
          <w:sz w:val="22"/>
          <w:szCs w:val="22"/>
          <w:lang w:eastAsia="en-US"/>
        </w:rPr>
        <w:t>Comunicar</w:t>
      </w:r>
      <w:r w:rsidRPr="00836B60">
        <w:rPr>
          <w:rFonts w:ascii="Arial" w:hAnsi="Arial" w:cs="Arial"/>
          <w:sz w:val="22"/>
          <w:szCs w:val="22"/>
          <w:lang w:val="es-CR"/>
        </w:rPr>
        <w:t xml:space="preserve">. </w:t>
      </w:r>
      <w:r w:rsidRPr="00836B60">
        <w:rPr>
          <w:rFonts w:ascii="Arial" w:hAnsi="Arial" w:cs="Arial"/>
          <w:b/>
          <w:sz w:val="22"/>
          <w:szCs w:val="22"/>
          <w:lang w:val="es-CR"/>
        </w:rPr>
        <w:t xml:space="preserve"> </w:t>
      </w:r>
      <w:r w:rsidR="00E53665" w:rsidRPr="00836B60">
        <w:rPr>
          <w:rFonts w:ascii="Arial" w:hAnsi="Arial" w:cs="Arial"/>
          <w:b/>
          <w:sz w:val="22"/>
          <w:szCs w:val="22"/>
          <w:lang w:val="es-CR"/>
        </w:rPr>
        <w:t>ACUERDO FIRME.</w:t>
      </w:r>
    </w:p>
    <w:p w:rsidR="00901698" w:rsidRDefault="00901698" w:rsidP="00901698">
      <w:pPr>
        <w:ind w:right="618"/>
        <w:jc w:val="both"/>
        <w:rPr>
          <w:rFonts w:ascii="Arial" w:hAnsi="Arial" w:cs="Arial"/>
          <w:b/>
          <w:sz w:val="22"/>
          <w:szCs w:val="22"/>
          <w:lang w:val="es-CR"/>
        </w:rPr>
      </w:pPr>
    </w:p>
    <w:p w:rsidR="00901698" w:rsidRDefault="00901698" w:rsidP="00901698">
      <w:pPr>
        <w:ind w:right="618"/>
        <w:jc w:val="both"/>
        <w:rPr>
          <w:rFonts w:ascii="Arial" w:hAnsi="Arial" w:cs="Arial"/>
          <w:b/>
          <w:sz w:val="22"/>
          <w:szCs w:val="22"/>
          <w:lang w:val="es-CR"/>
        </w:rPr>
      </w:pPr>
      <w:r>
        <w:rPr>
          <w:rFonts w:ascii="Arial" w:hAnsi="Arial" w:cs="Arial"/>
          <w:b/>
          <w:sz w:val="22"/>
          <w:szCs w:val="22"/>
          <w:lang w:val="es-CR"/>
        </w:rPr>
        <w:object w:dxaOrig="1539"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pt;height:49.45pt" o:ole="">
            <v:imagedata r:id="rId9" o:title=""/>
          </v:shape>
          <o:OLEObject Type="Embed" ProgID="AcroExch.Document.DC" ShapeID="_x0000_i1027" DrawAspect="Icon" ObjectID="_1623060973" r:id="rId10"/>
        </w:object>
      </w:r>
    </w:p>
    <w:p w:rsidR="00901698" w:rsidRDefault="00901698" w:rsidP="00901698">
      <w:pPr>
        <w:ind w:right="618"/>
        <w:jc w:val="both"/>
        <w:rPr>
          <w:rFonts w:ascii="Arial" w:hAnsi="Arial" w:cs="Arial"/>
          <w:b/>
          <w:sz w:val="22"/>
          <w:szCs w:val="22"/>
          <w:lang w:val="es-CR"/>
        </w:rPr>
      </w:pPr>
    </w:p>
    <w:p w:rsidR="00901698" w:rsidRDefault="00901698" w:rsidP="00901698">
      <w:pPr>
        <w:ind w:right="618"/>
        <w:jc w:val="both"/>
        <w:rPr>
          <w:rFonts w:ascii="Arial" w:hAnsi="Arial" w:cs="Arial"/>
          <w:b/>
          <w:sz w:val="22"/>
          <w:szCs w:val="22"/>
          <w:lang w:val="es-CR"/>
        </w:rPr>
      </w:pPr>
    </w:p>
    <w:p w:rsidR="00901698" w:rsidRPr="00901698" w:rsidRDefault="00901698" w:rsidP="00901698">
      <w:pPr>
        <w:spacing w:after="200"/>
        <w:jc w:val="both"/>
        <w:rPr>
          <w:rFonts w:ascii="Arial" w:hAnsi="Arial" w:cs="Arial"/>
          <w:b/>
          <w:sz w:val="20"/>
          <w:szCs w:val="20"/>
          <w:lang w:val="es-CR"/>
        </w:rPr>
      </w:pPr>
      <w:r w:rsidRPr="00901698">
        <w:rPr>
          <w:rFonts w:ascii="Arial" w:hAnsi="Arial" w:cs="Arial"/>
          <w:b/>
          <w:i/>
          <w:sz w:val="22"/>
          <w:szCs w:val="22"/>
          <w:lang w:val="es-CR"/>
        </w:rPr>
        <w:t xml:space="preserve">Palabra clave: </w:t>
      </w:r>
      <w:r w:rsidRPr="00901698">
        <w:rPr>
          <w:rFonts w:ascii="Arial" w:hAnsi="Arial" w:cs="Arial"/>
          <w:b/>
          <w:sz w:val="20"/>
          <w:szCs w:val="20"/>
          <w:lang w:val="es-CR"/>
        </w:rPr>
        <w:t xml:space="preserve"> Pronunciamiento – seguridad jurídica - huelga</w:t>
      </w:r>
    </w:p>
    <w:p w:rsidR="00901698" w:rsidRPr="00901698" w:rsidRDefault="00901698" w:rsidP="00901698">
      <w:pPr>
        <w:ind w:right="618"/>
        <w:jc w:val="both"/>
        <w:rPr>
          <w:rFonts w:ascii="Arial" w:hAnsi="Arial" w:cs="Arial"/>
          <w:b/>
          <w:sz w:val="22"/>
          <w:szCs w:val="22"/>
          <w:lang w:val="es-CR"/>
        </w:rPr>
      </w:pPr>
    </w:p>
    <w:p w:rsidR="00C224C8" w:rsidRDefault="00C224C8" w:rsidP="00C224C8">
      <w:pPr>
        <w:autoSpaceDE w:val="0"/>
        <w:autoSpaceDN w:val="0"/>
        <w:adjustRightInd w:val="0"/>
        <w:ind w:right="-91"/>
        <w:jc w:val="both"/>
        <w:rPr>
          <w:rFonts w:ascii="Arial" w:hAnsi="Arial" w:cs="Arial"/>
          <w:b/>
          <w:color w:val="000000" w:themeColor="text1"/>
          <w:sz w:val="20"/>
          <w:szCs w:val="20"/>
          <w:lang w:val="es-CR"/>
        </w:rPr>
      </w:pPr>
    </w:p>
    <w:p w:rsidR="00885F0A" w:rsidRDefault="00EB0F82" w:rsidP="00885F0A">
      <w:pPr>
        <w:jc w:val="both"/>
        <w:rPr>
          <w:rFonts w:ascii="Arial" w:eastAsia="Cambria" w:hAnsi="Arial" w:cs="Arial"/>
          <w:b/>
          <w:sz w:val="16"/>
          <w:szCs w:val="16"/>
          <w:lang w:val="es-ES_tradnl" w:eastAsia="en-US"/>
        </w:rPr>
      </w:pPr>
      <w:proofErr w:type="spellStart"/>
      <w:r>
        <w:rPr>
          <w:rFonts w:ascii="Arial" w:eastAsia="Cambria" w:hAnsi="Arial" w:cs="Arial"/>
          <w:b/>
          <w:sz w:val="16"/>
          <w:szCs w:val="16"/>
          <w:lang w:val="es-ES_tradnl" w:eastAsia="en-US"/>
        </w:rPr>
        <w:t>c.i.</w:t>
      </w:r>
      <w:proofErr w:type="spellEnd"/>
      <w:r>
        <w:rPr>
          <w:rFonts w:ascii="Arial" w:eastAsia="Cambria" w:hAnsi="Arial" w:cs="Arial"/>
          <w:b/>
          <w:sz w:val="16"/>
          <w:szCs w:val="16"/>
          <w:lang w:val="es-ES_tradnl" w:eastAsia="en-US"/>
        </w:rPr>
        <w:t xml:space="preserve">   </w:t>
      </w:r>
      <w:r w:rsidR="00D23962" w:rsidRPr="00474B22">
        <w:rPr>
          <w:rFonts w:ascii="Arial" w:eastAsia="Cambria" w:hAnsi="Arial" w:cs="Arial"/>
          <w:b/>
          <w:sz w:val="16"/>
          <w:szCs w:val="16"/>
          <w:lang w:val="es-ES_tradnl" w:eastAsia="en-US"/>
        </w:rPr>
        <w:t>Auditoría Interna (Notificado a la Secretaria vía correo electrónico)</w:t>
      </w:r>
    </w:p>
    <w:p w:rsidR="00337E83" w:rsidRDefault="00337E83" w:rsidP="008F6C51">
      <w:pPr>
        <w:jc w:val="both"/>
        <w:rPr>
          <w:rFonts w:ascii="Arial" w:eastAsia="Cambria" w:hAnsi="Arial" w:cs="Arial"/>
          <w:sz w:val="22"/>
          <w:szCs w:val="22"/>
          <w:lang w:val="es-CR" w:eastAsia="en-US"/>
        </w:rPr>
      </w:pPr>
      <w:r>
        <w:rPr>
          <w:rFonts w:ascii="Arial" w:eastAsia="Cambria" w:hAnsi="Arial" w:cs="Arial"/>
          <w:b/>
          <w:sz w:val="16"/>
          <w:szCs w:val="16"/>
          <w:lang w:val="es-CR" w:eastAsia="en-US"/>
        </w:rPr>
        <w:t xml:space="preserve">  </w:t>
      </w:r>
    </w:p>
    <w:p w:rsidR="00F41044" w:rsidRPr="00B77B04" w:rsidRDefault="00F41044" w:rsidP="00F41044">
      <w:pPr>
        <w:jc w:val="both"/>
        <w:rPr>
          <w:rFonts w:ascii="Arial" w:hAnsi="Arial" w:cs="Arial"/>
          <w:lang w:val="es-CR"/>
        </w:rPr>
      </w:pPr>
      <w:proofErr w:type="spellStart"/>
      <w:r w:rsidRPr="00B77B04">
        <w:rPr>
          <w:rFonts w:ascii="Arial" w:eastAsia="Cambria" w:hAnsi="Arial" w:cs="Arial"/>
          <w:sz w:val="22"/>
          <w:szCs w:val="22"/>
          <w:lang w:val="es-CR" w:eastAsia="en-US"/>
        </w:rPr>
        <w:t>ars</w:t>
      </w:r>
      <w:proofErr w:type="spellEnd"/>
      <w:r w:rsidR="00885F0A" w:rsidRPr="00B77B04">
        <w:rPr>
          <w:rFonts w:ascii="Arial" w:hAnsi="Arial" w:cs="Arial"/>
          <w:lang w:val="es-CR"/>
        </w:rPr>
        <w:t xml:space="preserve"> </w:t>
      </w:r>
    </w:p>
    <w:p w:rsidR="002C0D34" w:rsidRPr="00B77B04" w:rsidRDefault="002C0D34" w:rsidP="00F41044">
      <w:pPr>
        <w:jc w:val="both"/>
        <w:rPr>
          <w:rFonts w:ascii="Arial" w:eastAsia="Cambria" w:hAnsi="Arial" w:cs="Arial"/>
          <w:sz w:val="22"/>
          <w:szCs w:val="22"/>
          <w:lang w:val="es-CR" w:eastAsia="en-US"/>
        </w:rPr>
      </w:pPr>
    </w:p>
    <w:sectPr w:rsidR="002C0D34" w:rsidRPr="00B77B04" w:rsidSect="00CE0215">
      <w:headerReference w:type="default" r:id="rId11"/>
      <w:footerReference w:type="default" r:id="rId12"/>
      <w:pgSz w:w="11906" w:h="16838"/>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0B16" w:rsidRDefault="00430B16">
      <w:r>
        <w:separator/>
      </w:r>
    </w:p>
  </w:endnote>
  <w:endnote w:type="continuationSeparator" w:id="0">
    <w:p w:rsidR="00430B16" w:rsidRDefault="00430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TE1865388t00">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329" w:rsidRDefault="00082329">
    <w:pPr>
      <w:pStyle w:val="Piedepgina"/>
      <w:jc w:val="center"/>
    </w:pPr>
  </w:p>
  <w:p w:rsidR="00082329" w:rsidRDefault="0008232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0B16" w:rsidRDefault="00430B16">
      <w:r>
        <w:separator/>
      </w:r>
    </w:p>
  </w:footnote>
  <w:footnote w:type="continuationSeparator" w:id="0">
    <w:p w:rsidR="00430B16" w:rsidRDefault="00430B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2329" w:rsidRPr="00D958BC" w:rsidRDefault="00082329" w:rsidP="007742A1">
    <w:pPr>
      <w:ind w:right="-40"/>
      <w:rPr>
        <w:rFonts w:ascii="Arial" w:eastAsia="Cambria" w:hAnsi="Arial" w:cs="Arial"/>
        <w:b/>
        <w:i/>
        <w:iCs/>
        <w:sz w:val="18"/>
        <w:szCs w:val="18"/>
        <w:lang w:val="es-ES_tradnl" w:eastAsia="en-US"/>
      </w:rPr>
    </w:pPr>
    <w:r w:rsidRPr="00D958BC">
      <w:rPr>
        <w:rFonts w:ascii="Arial" w:eastAsia="Cambria" w:hAnsi="Arial" w:cs="Arial"/>
        <w:b/>
        <w:i/>
        <w:iCs/>
        <w:sz w:val="18"/>
        <w:szCs w:val="18"/>
        <w:lang w:val="es-ES_tradnl" w:eastAsia="en-US"/>
      </w:rPr>
      <w:t>COMUNICACIÓN DE ACUERDO</w:t>
    </w:r>
  </w:p>
  <w:p w:rsidR="00082329" w:rsidRPr="00D958BC" w:rsidRDefault="00082329"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Sesión Ordinaria No. </w:t>
    </w:r>
    <w:r>
      <w:rPr>
        <w:rFonts w:ascii="Arial" w:eastAsia="Cambria" w:hAnsi="Arial" w:cs="Arial"/>
        <w:i/>
        <w:sz w:val="18"/>
        <w:szCs w:val="18"/>
        <w:lang w:val="es-ES_tradnl" w:eastAsia="x-none"/>
      </w:rPr>
      <w:t>31</w:t>
    </w:r>
    <w:r w:rsidR="006F356C">
      <w:rPr>
        <w:rFonts w:ascii="Arial" w:eastAsia="Cambria" w:hAnsi="Arial" w:cs="Arial"/>
        <w:i/>
        <w:sz w:val="18"/>
        <w:szCs w:val="18"/>
        <w:lang w:val="es-ES_tradnl" w:eastAsia="x-none"/>
      </w:rPr>
      <w:t>2</w:t>
    </w:r>
    <w:r w:rsidR="00836B60">
      <w:rPr>
        <w:rFonts w:ascii="Arial" w:eastAsia="Cambria" w:hAnsi="Arial" w:cs="Arial"/>
        <w:i/>
        <w:sz w:val="18"/>
        <w:szCs w:val="18"/>
        <w:lang w:val="es-ES_tradnl" w:eastAsia="x-none"/>
      </w:rPr>
      <w:t>5</w:t>
    </w:r>
    <w:r w:rsidRPr="00D958BC">
      <w:rPr>
        <w:rFonts w:ascii="Arial" w:eastAsia="Cambria" w:hAnsi="Arial" w:cs="Arial"/>
        <w:i/>
        <w:sz w:val="18"/>
        <w:szCs w:val="18"/>
        <w:lang w:val="es-ES_tradnl" w:eastAsia="x-none"/>
      </w:rPr>
      <w:t xml:space="preserve">, Artículo </w:t>
    </w:r>
    <w:r w:rsidR="00803597">
      <w:rPr>
        <w:rFonts w:ascii="Arial" w:eastAsia="Cambria" w:hAnsi="Arial" w:cs="Arial"/>
        <w:i/>
        <w:sz w:val="18"/>
        <w:szCs w:val="18"/>
        <w:lang w:val="es-ES_tradnl" w:eastAsia="x-none"/>
      </w:rPr>
      <w:t>7</w:t>
    </w:r>
    <w:r>
      <w:rPr>
        <w:rFonts w:ascii="Arial" w:eastAsia="Cambria" w:hAnsi="Arial" w:cs="Arial"/>
        <w:i/>
        <w:sz w:val="18"/>
        <w:szCs w:val="18"/>
        <w:lang w:val="es-ES_tradnl" w:eastAsia="x-none"/>
      </w:rPr>
      <w:t>,</w:t>
    </w:r>
    <w:r w:rsidRPr="00D958BC">
      <w:rPr>
        <w:rFonts w:ascii="Arial" w:eastAsia="Cambria" w:hAnsi="Arial" w:cs="Arial"/>
        <w:i/>
        <w:sz w:val="18"/>
        <w:szCs w:val="18"/>
        <w:lang w:val="es-ES_tradnl" w:eastAsia="x-none"/>
      </w:rPr>
      <w:t xml:space="preserve"> del </w:t>
    </w:r>
    <w:r w:rsidR="00836B60">
      <w:rPr>
        <w:rFonts w:ascii="Arial" w:eastAsia="Cambria" w:hAnsi="Arial" w:cs="Arial"/>
        <w:i/>
        <w:sz w:val="18"/>
        <w:szCs w:val="18"/>
        <w:lang w:val="es-ES_tradnl" w:eastAsia="x-none"/>
      </w:rPr>
      <w:t>26</w:t>
    </w:r>
    <w:r>
      <w:rPr>
        <w:rFonts w:ascii="Arial" w:eastAsia="Cambria" w:hAnsi="Arial" w:cs="Arial"/>
        <w:i/>
        <w:sz w:val="18"/>
        <w:szCs w:val="18"/>
        <w:lang w:val="es-ES_tradnl" w:eastAsia="x-none"/>
      </w:rPr>
      <w:t xml:space="preserve"> de </w:t>
    </w:r>
    <w:r w:rsidR="006F356C">
      <w:rPr>
        <w:rFonts w:ascii="Arial" w:eastAsia="Cambria" w:hAnsi="Arial" w:cs="Arial"/>
        <w:i/>
        <w:sz w:val="18"/>
        <w:szCs w:val="18"/>
        <w:lang w:val="es-ES_tradnl" w:eastAsia="x-none"/>
      </w:rPr>
      <w:t>junio</w:t>
    </w:r>
    <w:r>
      <w:rPr>
        <w:rFonts w:ascii="Arial" w:eastAsia="Cambria" w:hAnsi="Arial" w:cs="Arial"/>
        <w:i/>
        <w:sz w:val="18"/>
        <w:szCs w:val="18"/>
        <w:lang w:val="es-ES_tradnl" w:eastAsia="x-none"/>
      </w:rPr>
      <w:t xml:space="preserve"> </w:t>
    </w:r>
    <w:r w:rsidRPr="00D958BC">
      <w:rPr>
        <w:rFonts w:ascii="Arial" w:eastAsia="Cambria" w:hAnsi="Arial" w:cs="Arial"/>
        <w:i/>
        <w:sz w:val="18"/>
        <w:szCs w:val="18"/>
        <w:lang w:val="es-ES_tradnl" w:eastAsia="x-none"/>
      </w:rPr>
      <w:t>de 201</w:t>
    </w:r>
    <w:r>
      <w:rPr>
        <w:rFonts w:ascii="Arial" w:eastAsia="Cambria" w:hAnsi="Arial" w:cs="Arial"/>
        <w:i/>
        <w:sz w:val="18"/>
        <w:szCs w:val="18"/>
        <w:lang w:val="es-ES_tradnl" w:eastAsia="x-none"/>
      </w:rPr>
      <w:t>9</w:t>
    </w:r>
  </w:p>
  <w:p w:rsidR="00082329" w:rsidRDefault="00082329" w:rsidP="007742A1">
    <w:pPr>
      <w:tabs>
        <w:tab w:val="center" w:pos="4419"/>
        <w:tab w:val="right" w:pos="8838"/>
      </w:tabs>
      <w:rPr>
        <w:rFonts w:ascii="Arial" w:eastAsia="Cambria" w:hAnsi="Arial" w:cs="Arial"/>
        <w:i/>
        <w:sz w:val="18"/>
        <w:szCs w:val="18"/>
        <w:lang w:val="es-ES_tradnl" w:eastAsia="x-none"/>
      </w:rPr>
    </w:pPr>
    <w:r w:rsidRPr="00D958BC">
      <w:rPr>
        <w:rFonts w:ascii="Arial" w:eastAsia="Cambria" w:hAnsi="Arial" w:cs="Arial"/>
        <w:i/>
        <w:sz w:val="18"/>
        <w:szCs w:val="18"/>
        <w:lang w:val="es-ES_tradnl" w:eastAsia="x-none"/>
      </w:rPr>
      <w:t xml:space="preserve">Página </w:t>
    </w:r>
    <w:r w:rsidRPr="00D958BC">
      <w:rPr>
        <w:rFonts w:ascii="Arial" w:eastAsia="Cambria" w:hAnsi="Arial" w:cs="Arial"/>
        <w:i/>
        <w:sz w:val="18"/>
        <w:szCs w:val="18"/>
        <w:lang w:val="es-ES_tradnl" w:eastAsia="x-none"/>
      </w:rPr>
      <w:fldChar w:fldCharType="begin"/>
    </w:r>
    <w:r w:rsidRPr="00D958BC">
      <w:rPr>
        <w:rFonts w:ascii="Arial" w:eastAsia="Cambria" w:hAnsi="Arial" w:cs="Arial"/>
        <w:i/>
        <w:sz w:val="18"/>
        <w:szCs w:val="18"/>
        <w:lang w:val="es-ES_tradnl" w:eastAsia="x-none"/>
      </w:rPr>
      <w:instrText xml:space="preserve"> PAGE   \* MERGEFORMAT </w:instrText>
    </w:r>
    <w:r w:rsidRPr="00D958BC">
      <w:rPr>
        <w:rFonts w:ascii="Arial" w:eastAsia="Cambria" w:hAnsi="Arial" w:cs="Arial"/>
        <w:i/>
        <w:sz w:val="18"/>
        <w:szCs w:val="18"/>
        <w:lang w:val="es-ES_tradnl" w:eastAsia="x-none"/>
      </w:rPr>
      <w:fldChar w:fldCharType="separate"/>
    </w:r>
    <w:r w:rsidR="00D412D6">
      <w:rPr>
        <w:rFonts w:ascii="Arial" w:eastAsia="Cambria" w:hAnsi="Arial" w:cs="Arial"/>
        <w:i/>
        <w:noProof/>
        <w:sz w:val="18"/>
        <w:szCs w:val="18"/>
        <w:lang w:val="es-ES_tradnl" w:eastAsia="x-none"/>
      </w:rPr>
      <w:t>5</w:t>
    </w:r>
    <w:r w:rsidRPr="00D958BC">
      <w:rPr>
        <w:rFonts w:ascii="Arial" w:eastAsia="Cambria" w:hAnsi="Arial" w:cs="Arial"/>
        <w:i/>
        <w:sz w:val="18"/>
        <w:szCs w:val="18"/>
        <w:lang w:val="es-ES_tradnl" w:eastAsia="x-none"/>
      </w:rPr>
      <w:fldChar w:fldCharType="end"/>
    </w:r>
  </w:p>
  <w:p w:rsidR="00082329" w:rsidRDefault="00082329" w:rsidP="007742A1">
    <w:pPr>
      <w:tabs>
        <w:tab w:val="center" w:pos="4419"/>
        <w:tab w:val="right" w:pos="8838"/>
      </w:tabs>
      <w:rPr>
        <w:rFonts w:ascii="Arial" w:eastAsia="Cambria" w:hAnsi="Arial" w:cs="Arial"/>
        <w:i/>
        <w:sz w:val="18"/>
        <w:szCs w:val="18"/>
        <w:lang w:val="es-ES_tradnl"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A0CB8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5A65511"/>
    <w:multiLevelType w:val="hybridMultilevel"/>
    <w:tmpl w:val="16F0751A"/>
    <w:lvl w:ilvl="0" w:tplc="FADEC2AE">
      <w:start w:val="1"/>
      <w:numFmt w:val="decimal"/>
      <w:pStyle w:val="clau"/>
      <w:lvlText w:val="%1."/>
      <w:lvlJc w:val="left"/>
      <w:pPr>
        <w:tabs>
          <w:tab w:val="num" w:pos="357"/>
        </w:tabs>
        <w:ind w:left="0" w:firstLine="0"/>
      </w:pPr>
      <w:rPr>
        <w:rFonts w:ascii="Arial" w:hAnsi="Arial" w:hint="default"/>
        <w:b/>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19186C6A"/>
    <w:multiLevelType w:val="hybridMultilevel"/>
    <w:tmpl w:val="E47AE0C2"/>
    <w:lvl w:ilvl="0" w:tplc="448E4BDC">
      <w:start w:val="1"/>
      <w:numFmt w:val="lowerLetter"/>
      <w:lvlText w:val="%1."/>
      <w:lvlJc w:val="left"/>
      <w:pPr>
        <w:ind w:left="720" w:hanging="360"/>
      </w:pPr>
      <w:rPr>
        <w:b/>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2B3832C3"/>
    <w:multiLevelType w:val="hybridMultilevel"/>
    <w:tmpl w:val="FCCA6C88"/>
    <w:lvl w:ilvl="0" w:tplc="3B1E37DE">
      <w:start w:val="1"/>
      <w:numFmt w:val="lowerLetter"/>
      <w:lvlText w:val="%1."/>
      <w:lvlJc w:val="left"/>
      <w:pPr>
        <w:ind w:left="720" w:hanging="360"/>
      </w:pPr>
      <w:rPr>
        <w:rFonts w:cs="TTE1865388t00" w:hint="default"/>
        <w:b/>
        <w:i w:val="0"/>
        <w:sz w:val="24"/>
        <w:szCs w:val="24"/>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34BA7C37"/>
    <w:multiLevelType w:val="hybridMultilevel"/>
    <w:tmpl w:val="6BCA9E00"/>
    <w:lvl w:ilvl="0" w:tplc="FD52B58C">
      <w:start w:val="1"/>
      <w:numFmt w:val="decimal"/>
      <w:lvlText w:val="%1."/>
      <w:lvlJc w:val="left"/>
      <w:pPr>
        <w:ind w:left="720" w:hanging="360"/>
      </w:pPr>
      <w:rPr>
        <w:rFonts w:ascii="Arial" w:hAnsi="Arial" w:cs="Arial"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8BE7ED4"/>
    <w:multiLevelType w:val="multilevel"/>
    <w:tmpl w:val="1FA8B5CE"/>
    <w:lvl w:ilvl="0">
      <w:start w:val="1"/>
      <w:numFmt w:val="decimal"/>
      <w:lvlText w:val="%1."/>
      <w:lvlJc w:val="left"/>
      <w:pPr>
        <w:ind w:left="720" w:hanging="360"/>
      </w:pPr>
      <w:rPr>
        <w:b/>
        <w:i w:val="0"/>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 w:numId="3">
    <w:abstractNumId w:val="2"/>
  </w:num>
  <w:num w:numId="4">
    <w:abstractNumId w:val="5"/>
  </w:num>
  <w:num w:numId="5">
    <w:abstractNumId w:val="4"/>
  </w:num>
  <w:num w:numId="6">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pt-BR" w:vendorID="64" w:dllVersion="131078" w:nlCheck="1" w:checkStyle="0"/>
  <w:activeWritingStyle w:appName="MSWord" w:lang="es-ES" w:vendorID="64" w:dllVersion="131078" w:nlCheck="1" w:checkStyle="0"/>
  <w:activeWritingStyle w:appName="MSWord" w:lang="es-C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activeWritingStyle w:appName="MSWord" w:lang="es-CL" w:vendorID="64" w:dllVersion="131078" w:nlCheck="1" w:checkStyle="0"/>
  <w:activeWritingStyle w:appName="MSWord" w:lang="es-PE"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397"/>
    <w:rsid w:val="000012C8"/>
    <w:rsid w:val="00001369"/>
    <w:rsid w:val="000040EF"/>
    <w:rsid w:val="000046BC"/>
    <w:rsid w:val="00004A0B"/>
    <w:rsid w:val="0000518D"/>
    <w:rsid w:val="0000683B"/>
    <w:rsid w:val="00010592"/>
    <w:rsid w:val="00011DBE"/>
    <w:rsid w:val="000120EB"/>
    <w:rsid w:val="000128E2"/>
    <w:rsid w:val="00017DE2"/>
    <w:rsid w:val="00020858"/>
    <w:rsid w:val="000213DD"/>
    <w:rsid w:val="00024564"/>
    <w:rsid w:val="00024BA5"/>
    <w:rsid w:val="000254A5"/>
    <w:rsid w:val="000256DE"/>
    <w:rsid w:val="00033918"/>
    <w:rsid w:val="00034CE3"/>
    <w:rsid w:val="000359F5"/>
    <w:rsid w:val="0003651A"/>
    <w:rsid w:val="00036DAC"/>
    <w:rsid w:val="00037459"/>
    <w:rsid w:val="000401D6"/>
    <w:rsid w:val="000414FE"/>
    <w:rsid w:val="000428F8"/>
    <w:rsid w:val="000437DE"/>
    <w:rsid w:val="00043B22"/>
    <w:rsid w:val="00044242"/>
    <w:rsid w:val="00047F2B"/>
    <w:rsid w:val="00050123"/>
    <w:rsid w:val="00052427"/>
    <w:rsid w:val="000602DE"/>
    <w:rsid w:val="00060CCC"/>
    <w:rsid w:val="000642E4"/>
    <w:rsid w:val="00064D05"/>
    <w:rsid w:val="00067296"/>
    <w:rsid w:val="00067992"/>
    <w:rsid w:val="00067BE7"/>
    <w:rsid w:val="00067C8C"/>
    <w:rsid w:val="000719CB"/>
    <w:rsid w:val="0007411A"/>
    <w:rsid w:val="00076DBD"/>
    <w:rsid w:val="00076EC1"/>
    <w:rsid w:val="00077028"/>
    <w:rsid w:val="00077BC7"/>
    <w:rsid w:val="00077D4B"/>
    <w:rsid w:val="0008022E"/>
    <w:rsid w:val="00080FD1"/>
    <w:rsid w:val="0008108D"/>
    <w:rsid w:val="000813BE"/>
    <w:rsid w:val="00081BCF"/>
    <w:rsid w:val="00082329"/>
    <w:rsid w:val="000846DF"/>
    <w:rsid w:val="00084DC2"/>
    <w:rsid w:val="00084FDD"/>
    <w:rsid w:val="000856DA"/>
    <w:rsid w:val="000857E5"/>
    <w:rsid w:val="00087607"/>
    <w:rsid w:val="00087623"/>
    <w:rsid w:val="000903CE"/>
    <w:rsid w:val="00090FDF"/>
    <w:rsid w:val="00091B7B"/>
    <w:rsid w:val="000934FF"/>
    <w:rsid w:val="000936AB"/>
    <w:rsid w:val="00093971"/>
    <w:rsid w:val="000955C3"/>
    <w:rsid w:val="000A0756"/>
    <w:rsid w:val="000A0FF7"/>
    <w:rsid w:val="000A19B8"/>
    <w:rsid w:val="000A5CCC"/>
    <w:rsid w:val="000A5D85"/>
    <w:rsid w:val="000A5F69"/>
    <w:rsid w:val="000A6BE8"/>
    <w:rsid w:val="000B10B4"/>
    <w:rsid w:val="000B10C0"/>
    <w:rsid w:val="000B1785"/>
    <w:rsid w:val="000B39AF"/>
    <w:rsid w:val="000B55D7"/>
    <w:rsid w:val="000B5852"/>
    <w:rsid w:val="000B624C"/>
    <w:rsid w:val="000B6B41"/>
    <w:rsid w:val="000B7C5A"/>
    <w:rsid w:val="000C0A23"/>
    <w:rsid w:val="000C25EB"/>
    <w:rsid w:val="000C3E9F"/>
    <w:rsid w:val="000C52B7"/>
    <w:rsid w:val="000C55F1"/>
    <w:rsid w:val="000C68C0"/>
    <w:rsid w:val="000C7F00"/>
    <w:rsid w:val="000D1A31"/>
    <w:rsid w:val="000D220C"/>
    <w:rsid w:val="000D2AD1"/>
    <w:rsid w:val="000D34C2"/>
    <w:rsid w:val="000D5ACC"/>
    <w:rsid w:val="000D5C6B"/>
    <w:rsid w:val="000D6061"/>
    <w:rsid w:val="000D62F0"/>
    <w:rsid w:val="000D7162"/>
    <w:rsid w:val="000D793B"/>
    <w:rsid w:val="000E1F4D"/>
    <w:rsid w:val="000E39E4"/>
    <w:rsid w:val="000E420E"/>
    <w:rsid w:val="000E4C68"/>
    <w:rsid w:val="000E4FED"/>
    <w:rsid w:val="000E5B14"/>
    <w:rsid w:val="000E6DC9"/>
    <w:rsid w:val="000F106C"/>
    <w:rsid w:val="000F1E1D"/>
    <w:rsid w:val="000F2A0F"/>
    <w:rsid w:val="000F4527"/>
    <w:rsid w:val="000F473C"/>
    <w:rsid w:val="000F490D"/>
    <w:rsid w:val="000F4B43"/>
    <w:rsid w:val="000F50B9"/>
    <w:rsid w:val="000F5572"/>
    <w:rsid w:val="000F5EFB"/>
    <w:rsid w:val="000F710B"/>
    <w:rsid w:val="000F7A0A"/>
    <w:rsid w:val="000F7FF1"/>
    <w:rsid w:val="00102531"/>
    <w:rsid w:val="00102A7F"/>
    <w:rsid w:val="00104E6C"/>
    <w:rsid w:val="00105392"/>
    <w:rsid w:val="00107032"/>
    <w:rsid w:val="00107C78"/>
    <w:rsid w:val="00110466"/>
    <w:rsid w:val="0011053E"/>
    <w:rsid w:val="001113FE"/>
    <w:rsid w:val="001125EE"/>
    <w:rsid w:val="00115853"/>
    <w:rsid w:val="00117C68"/>
    <w:rsid w:val="00121308"/>
    <w:rsid w:val="001237E1"/>
    <w:rsid w:val="001240CC"/>
    <w:rsid w:val="001248CE"/>
    <w:rsid w:val="001256AA"/>
    <w:rsid w:val="001272AF"/>
    <w:rsid w:val="001304BF"/>
    <w:rsid w:val="0013093C"/>
    <w:rsid w:val="001314D7"/>
    <w:rsid w:val="001319DF"/>
    <w:rsid w:val="00132C08"/>
    <w:rsid w:val="00133EEB"/>
    <w:rsid w:val="00135EE8"/>
    <w:rsid w:val="001370D6"/>
    <w:rsid w:val="001370DB"/>
    <w:rsid w:val="001372BC"/>
    <w:rsid w:val="0013796E"/>
    <w:rsid w:val="00141B28"/>
    <w:rsid w:val="00143E80"/>
    <w:rsid w:val="00146F6F"/>
    <w:rsid w:val="00150F07"/>
    <w:rsid w:val="00153E19"/>
    <w:rsid w:val="00154839"/>
    <w:rsid w:val="00155121"/>
    <w:rsid w:val="00155891"/>
    <w:rsid w:val="00156111"/>
    <w:rsid w:val="001644B1"/>
    <w:rsid w:val="00165556"/>
    <w:rsid w:val="00165902"/>
    <w:rsid w:val="00165B51"/>
    <w:rsid w:val="00165C83"/>
    <w:rsid w:val="00165F34"/>
    <w:rsid w:val="00166375"/>
    <w:rsid w:val="00171957"/>
    <w:rsid w:val="00171AC3"/>
    <w:rsid w:val="001746E5"/>
    <w:rsid w:val="0018030A"/>
    <w:rsid w:val="001806C4"/>
    <w:rsid w:val="00182124"/>
    <w:rsid w:val="00187E00"/>
    <w:rsid w:val="00190010"/>
    <w:rsid w:val="001962C2"/>
    <w:rsid w:val="00196E82"/>
    <w:rsid w:val="001A0A20"/>
    <w:rsid w:val="001A214B"/>
    <w:rsid w:val="001A33C3"/>
    <w:rsid w:val="001A685C"/>
    <w:rsid w:val="001A7DF9"/>
    <w:rsid w:val="001B1E0E"/>
    <w:rsid w:val="001B208D"/>
    <w:rsid w:val="001B59CC"/>
    <w:rsid w:val="001B7AB0"/>
    <w:rsid w:val="001C1124"/>
    <w:rsid w:val="001C1335"/>
    <w:rsid w:val="001C1C6A"/>
    <w:rsid w:val="001C54CE"/>
    <w:rsid w:val="001D40F5"/>
    <w:rsid w:val="001D7008"/>
    <w:rsid w:val="001E0224"/>
    <w:rsid w:val="001E08C0"/>
    <w:rsid w:val="001E0E52"/>
    <w:rsid w:val="001E11D4"/>
    <w:rsid w:val="001E1E49"/>
    <w:rsid w:val="001E3DCB"/>
    <w:rsid w:val="001E684C"/>
    <w:rsid w:val="001E69A6"/>
    <w:rsid w:val="001E69C9"/>
    <w:rsid w:val="001E6DC5"/>
    <w:rsid w:val="001F0C0F"/>
    <w:rsid w:val="001F26FD"/>
    <w:rsid w:val="001F3C06"/>
    <w:rsid w:val="001F3E92"/>
    <w:rsid w:val="0020019E"/>
    <w:rsid w:val="00200318"/>
    <w:rsid w:val="0020223D"/>
    <w:rsid w:val="00202E06"/>
    <w:rsid w:val="00203662"/>
    <w:rsid w:val="0020429C"/>
    <w:rsid w:val="00204A01"/>
    <w:rsid w:val="00204A3D"/>
    <w:rsid w:val="00210743"/>
    <w:rsid w:val="002118B2"/>
    <w:rsid w:val="00212069"/>
    <w:rsid w:val="002127EE"/>
    <w:rsid w:val="002139D9"/>
    <w:rsid w:val="00215C41"/>
    <w:rsid w:val="002172C6"/>
    <w:rsid w:val="00217BCB"/>
    <w:rsid w:val="002204D7"/>
    <w:rsid w:val="002207D9"/>
    <w:rsid w:val="00220ED5"/>
    <w:rsid w:val="00221713"/>
    <w:rsid w:val="00221F57"/>
    <w:rsid w:val="00222C2E"/>
    <w:rsid w:val="00224810"/>
    <w:rsid w:val="00225D59"/>
    <w:rsid w:val="002279E5"/>
    <w:rsid w:val="00227D3E"/>
    <w:rsid w:val="00230EB0"/>
    <w:rsid w:val="00233B57"/>
    <w:rsid w:val="00234BB0"/>
    <w:rsid w:val="00235258"/>
    <w:rsid w:val="0024107D"/>
    <w:rsid w:val="00241503"/>
    <w:rsid w:val="00242D06"/>
    <w:rsid w:val="00242F8A"/>
    <w:rsid w:val="00245783"/>
    <w:rsid w:val="002462C8"/>
    <w:rsid w:val="00246D38"/>
    <w:rsid w:val="00247443"/>
    <w:rsid w:val="00250B47"/>
    <w:rsid w:val="002535D4"/>
    <w:rsid w:val="00253D5C"/>
    <w:rsid w:val="002543F5"/>
    <w:rsid w:val="00255202"/>
    <w:rsid w:val="002569E9"/>
    <w:rsid w:val="00260F3E"/>
    <w:rsid w:val="00261D4A"/>
    <w:rsid w:val="00263233"/>
    <w:rsid w:val="00264EFA"/>
    <w:rsid w:val="00266024"/>
    <w:rsid w:val="00266221"/>
    <w:rsid w:val="002668E5"/>
    <w:rsid w:val="00266AA4"/>
    <w:rsid w:val="0026727D"/>
    <w:rsid w:val="00267A3B"/>
    <w:rsid w:val="00267FAF"/>
    <w:rsid w:val="002743B7"/>
    <w:rsid w:val="00274B8E"/>
    <w:rsid w:val="00275822"/>
    <w:rsid w:val="00275FE3"/>
    <w:rsid w:val="00280C7B"/>
    <w:rsid w:val="00281B37"/>
    <w:rsid w:val="00283360"/>
    <w:rsid w:val="00283375"/>
    <w:rsid w:val="00284956"/>
    <w:rsid w:val="00286461"/>
    <w:rsid w:val="0029068F"/>
    <w:rsid w:val="00293111"/>
    <w:rsid w:val="00293149"/>
    <w:rsid w:val="00293595"/>
    <w:rsid w:val="0029396B"/>
    <w:rsid w:val="00294D1D"/>
    <w:rsid w:val="002978E4"/>
    <w:rsid w:val="002A148D"/>
    <w:rsid w:val="002A285B"/>
    <w:rsid w:val="002A39D6"/>
    <w:rsid w:val="002A51A3"/>
    <w:rsid w:val="002A57B5"/>
    <w:rsid w:val="002A7751"/>
    <w:rsid w:val="002B2032"/>
    <w:rsid w:val="002B2346"/>
    <w:rsid w:val="002B3224"/>
    <w:rsid w:val="002B3ED6"/>
    <w:rsid w:val="002B4AA8"/>
    <w:rsid w:val="002C0D34"/>
    <w:rsid w:val="002C163E"/>
    <w:rsid w:val="002C19F4"/>
    <w:rsid w:val="002C228F"/>
    <w:rsid w:val="002C2B58"/>
    <w:rsid w:val="002C468D"/>
    <w:rsid w:val="002C4D2C"/>
    <w:rsid w:val="002C6BE2"/>
    <w:rsid w:val="002D0584"/>
    <w:rsid w:val="002D170E"/>
    <w:rsid w:val="002D2A79"/>
    <w:rsid w:val="002D2C7C"/>
    <w:rsid w:val="002D2DF2"/>
    <w:rsid w:val="002D46A4"/>
    <w:rsid w:val="002D676B"/>
    <w:rsid w:val="002D6978"/>
    <w:rsid w:val="002D76DD"/>
    <w:rsid w:val="002E03BF"/>
    <w:rsid w:val="002E1507"/>
    <w:rsid w:val="002E2751"/>
    <w:rsid w:val="002E2D7B"/>
    <w:rsid w:val="002E49F2"/>
    <w:rsid w:val="002E5A2A"/>
    <w:rsid w:val="002E7062"/>
    <w:rsid w:val="002F03FC"/>
    <w:rsid w:val="002F05FD"/>
    <w:rsid w:val="002F1374"/>
    <w:rsid w:val="002F6367"/>
    <w:rsid w:val="00300778"/>
    <w:rsid w:val="003011A3"/>
    <w:rsid w:val="0030153B"/>
    <w:rsid w:val="00301B0B"/>
    <w:rsid w:val="00302A99"/>
    <w:rsid w:val="003042E7"/>
    <w:rsid w:val="00305BC2"/>
    <w:rsid w:val="00310865"/>
    <w:rsid w:val="003162A0"/>
    <w:rsid w:val="00316937"/>
    <w:rsid w:val="00316C74"/>
    <w:rsid w:val="00316F7C"/>
    <w:rsid w:val="00317D3B"/>
    <w:rsid w:val="0032099D"/>
    <w:rsid w:val="00322446"/>
    <w:rsid w:val="00322B8A"/>
    <w:rsid w:val="00323397"/>
    <w:rsid w:val="00323590"/>
    <w:rsid w:val="00324AB0"/>
    <w:rsid w:val="00325DEA"/>
    <w:rsid w:val="00325E1C"/>
    <w:rsid w:val="003262C5"/>
    <w:rsid w:val="003313A5"/>
    <w:rsid w:val="00332808"/>
    <w:rsid w:val="00333402"/>
    <w:rsid w:val="00334300"/>
    <w:rsid w:val="00336F05"/>
    <w:rsid w:val="00337455"/>
    <w:rsid w:val="00337E83"/>
    <w:rsid w:val="0034046D"/>
    <w:rsid w:val="00340863"/>
    <w:rsid w:val="00343851"/>
    <w:rsid w:val="0034405E"/>
    <w:rsid w:val="00344103"/>
    <w:rsid w:val="00345207"/>
    <w:rsid w:val="003471E0"/>
    <w:rsid w:val="0035043F"/>
    <w:rsid w:val="00350681"/>
    <w:rsid w:val="003506A7"/>
    <w:rsid w:val="00350E0D"/>
    <w:rsid w:val="003518BD"/>
    <w:rsid w:val="00352E01"/>
    <w:rsid w:val="003538E7"/>
    <w:rsid w:val="0035725E"/>
    <w:rsid w:val="00365D1B"/>
    <w:rsid w:val="0036607E"/>
    <w:rsid w:val="00366F0E"/>
    <w:rsid w:val="00370216"/>
    <w:rsid w:val="00371DC1"/>
    <w:rsid w:val="0037244F"/>
    <w:rsid w:val="003756F2"/>
    <w:rsid w:val="00376A00"/>
    <w:rsid w:val="00380871"/>
    <w:rsid w:val="00381397"/>
    <w:rsid w:val="0038212F"/>
    <w:rsid w:val="003828E2"/>
    <w:rsid w:val="00382EA8"/>
    <w:rsid w:val="00385402"/>
    <w:rsid w:val="003859C1"/>
    <w:rsid w:val="00387158"/>
    <w:rsid w:val="00387E4E"/>
    <w:rsid w:val="00391FB9"/>
    <w:rsid w:val="003921B6"/>
    <w:rsid w:val="00392B56"/>
    <w:rsid w:val="00394733"/>
    <w:rsid w:val="00395647"/>
    <w:rsid w:val="00396AAA"/>
    <w:rsid w:val="003A34C0"/>
    <w:rsid w:val="003A3C06"/>
    <w:rsid w:val="003A434F"/>
    <w:rsid w:val="003A49BC"/>
    <w:rsid w:val="003A5456"/>
    <w:rsid w:val="003A5BCA"/>
    <w:rsid w:val="003A7912"/>
    <w:rsid w:val="003B0A2D"/>
    <w:rsid w:val="003B245E"/>
    <w:rsid w:val="003B4C91"/>
    <w:rsid w:val="003B5F32"/>
    <w:rsid w:val="003B5FFB"/>
    <w:rsid w:val="003B6DC0"/>
    <w:rsid w:val="003B70AD"/>
    <w:rsid w:val="003C0783"/>
    <w:rsid w:val="003C19D5"/>
    <w:rsid w:val="003C1FAB"/>
    <w:rsid w:val="003C2706"/>
    <w:rsid w:val="003C3290"/>
    <w:rsid w:val="003C388C"/>
    <w:rsid w:val="003C5113"/>
    <w:rsid w:val="003C5FFE"/>
    <w:rsid w:val="003C6ED7"/>
    <w:rsid w:val="003D2633"/>
    <w:rsid w:val="003D3F8A"/>
    <w:rsid w:val="003D5AAA"/>
    <w:rsid w:val="003D7515"/>
    <w:rsid w:val="003E02A1"/>
    <w:rsid w:val="003E0C89"/>
    <w:rsid w:val="003E2233"/>
    <w:rsid w:val="003E2804"/>
    <w:rsid w:val="003E369B"/>
    <w:rsid w:val="003E6A14"/>
    <w:rsid w:val="003E7EDF"/>
    <w:rsid w:val="003F0170"/>
    <w:rsid w:val="003F0204"/>
    <w:rsid w:val="003F0538"/>
    <w:rsid w:val="003F3400"/>
    <w:rsid w:val="003F7349"/>
    <w:rsid w:val="003F7807"/>
    <w:rsid w:val="003F7A14"/>
    <w:rsid w:val="00400C92"/>
    <w:rsid w:val="0040137C"/>
    <w:rsid w:val="004023E1"/>
    <w:rsid w:val="004053D4"/>
    <w:rsid w:val="004060DD"/>
    <w:rsid w:val="0040694C"/>
    <w:rsid w:val="0040799C"/>
    <w:rsid w:val="00407FF0"/>
    <w:rsid w:val="004114DA"/>
    <w:rsid w:val="00411530"/>
    <w:rsid w:val="00411531"/>
    <w:rsid w:val="00411F04"/>
    <w:rsid w:val="00412158"/>
    <w:rsid w:val="00414443"/>
    <w:rsid w:val="004161F8"/>
    <w:rsid w:val="00416909"/>
    <w:rsid w:val="00416BD5"/>
    <w:rsid w:val="00420202"/>
    <w:rsid w:val="0042189A"/>
    <w:rsid w:val="004227AA"/>
    <w:rsid w:val="00423B77"/>
    <w:rsid w:val="004246F4"/>
    <w:rsid w:val="00424D7C"/>
    <w:rsid w:val="0042619C"/>
    <w:rsid w:val="00426401"/>
    <w:rsid w:val="004268E7"/>
    <w:rsid w:val="00426AC7"/>
    <w:rsid w:val="00427B05"/>
    <w:rsid w:val="00430B16"/>
    <w:rsid w:val="00430CF8"/>
    <w:rsid w:val="004314B6"/>
    <w:rsid w:val="0043286F"/>
    <w:rsid w:val="00432A0F"/>
    <w:rsid w:val="004335D5"/>
    <w:rsid w:val="00436940"/>
    <w:rsid w:val="00436F0E"/>
    <w:rsid w:val="00437F0F"/>
    <w:rsid w:val="0044013A"/>
    <w:rsid w:val="00443580"/>
    <w:rsid w:val="00443B63"/>
    <w:rsid w:val="004442EF"/>
    <w:rsid w:val="00445CED"/>
    <w:rsid w:val="00447784"/>
    <w:rsid w:val="004505E8"/>
    <w:rsid w:val="004511A1"/>
    <w:rsid w:val="00452394"/>
    <w:rsid w:val="0045318C"/>
    <w:rsid w:val="004542F9"/>
    <w:rsid w:val="00455473"/>
    <w:rsid w:val="00456A37"/>
    <w:rsid w:val="00456ABA"/>
    <w:rsid w:val="0045743F"/>
    <w:rsid w:val="00457DD8"/>
    <w:rsid w:val="00460D38"/>
    <w:rsid w:val="00461FB2"/>
    <w:rsid w:val="00462436"/>
    <w:rsid w:val="00464247"/>
    <w:rsid w:val="00465585"/>
    <w:rsid w:val="00467089"/>
    <w:rsid w:val="004730AC"/>
    <w:rsid w:val="0047360D"/>
    <w:rsid w:val="00473A47"/>
    <w:rsid w:val="00474B22"/>
    <w:rsid w:val="00475D28"/>
    <w:rsid w:val="004767B5"/>
    <w:rsid w:val="00476861"/>
    <w:rsid w:val="00480A91"/>
    <w:rsid w:val="00481E38"/>
    <w:rsid w:val="004823B5"/>
    <w:rsid w:val="00482A59"/>
    <w:rsid w:val="004873EC"/>
    <w:rsid w:val="00487C3B"/>
    <w:rsid w:val="00492457"/>
    <w:rsid w:val="0049385C"/>
    <w:rsid w:val="0049400A"/>
    <w:rsid w:val="004945D5"/>
    <w:rsid w:val="004947BD"/>
    <w:rsid w:val="00495B4F"/>
    <w:rsid w:val="00497506"/>
    <w:rsid w:val="00497832"/>
    <w:rsid w:val="004A0A9A"/>
    <w:rsid w:val="004A172B"/>
    <w:rsid w:val="004A4274"/>
    <w:rsid w:val="004A48E6"/>
    <w:rsid w:val="004A5051"/>
    <w:rsid w:val="004A6FE0"/>
    <w:rsid w:val="004A7236"/>
    <w:rsid w:val="004B143B"/>
    <w:rsid w:val="004B2B3D"/>
    <w:rsid w:val="004B3C97"/>
    <w:rsid w:val="004B43AF"/>
    <w:rsid w:val="004B4763"/>
    <w:rsid w:val="004B66FD"/>
    <w:rsid w:val="004C2F5E"/>
    <w:rsid w:val="004C36C4"/>
    <w:rsid w:val="004C43F0"/>
    <w:rsid w:val="004C568E"/>
    <w:rsid w:val="004C5B2A"/>
    <w:rsid w:val="004C5DDD"/>
    <w:rsid w:val="004D0616"/>
    <w:rsid w:val="004D0B7A"/>
    <w:rsid w:val="004D0E9A"/>
    <w:rsid w:val="004D19F3"/>
    <w:rsid w:val="004D2D67"/>
    <w:rsid w:val="004D3777"/>
    <w:rsid w:val="004D5B06"/>
    <w:rsid w:val="004D6CA2"/>
    <w:rsid w:val="004E1FC9"/>
    <w:rsid w:val="004E23CB"/>
    <w:rsid w:val="004E3D7B"/>
    <w:rsid w:val="004E6438"/>
    <w:rsid w:val="004E65FB"/>
    <w:rsid w:val="004E6E23"/>
    <w:rsid w:val="004E7D9D"/>
    <w:rsid w:val="004E7FFC"/>
    <w:rsid w:val="004F2645"/>
    <w:rsid w:val="004F319C"/>
    <w:rsid w:val="004F36F9"/>
    <w:rsid w:val="004F68D2"/>
    <w:rsid w:val="004F6BA9"/>
    <w:rsid w:val="004F7707"/>
    <w:rsid w:val="004F7EB0"/>
    <w:rsid w:val="00501E14"/>
    <w:rsid w:val="00502116"/>
    <w:rsid w:val="00503263"/>
    <w:rsid w:val="005032E7"/>
    <w:rsid w:val="00504D5D"/>
    <w:rsid w:val="005052C7"/>
    <w:rsid w:val="00506EDE"/>
    <w:rsid w:val="00510C22"/>
    <w:rsid w:val="00511246"/>
    <w:rsid w:val="005121D8"/>
    <w:rsid w:val="005122A1"/>
    <w:rsid w:val="005156CF"/>
    <w:rsid w:val="00515CEC"/>
    <w:rsid w:val="005166A5"/>
    <w:rsid w:val="00523260"/>
    <w:rsid w:val="0052377B"/>
    <w:rsid w:val="0052523D"/>
    <w:rsid w:val="00525250"/>
    <w:rsid w:val="00525FBA"/>
    <w:rsid w:val="00526DD2"/>
    <w:rsid w:val="00527985"/>
    <w:rsid w:val="005300C8"/>
    <w:rsid w:val="00530C30"/>
    <w:rsid w:val="00530CF9"/>
    <w:rsid w:val="00531529"/>
    <w:rsid w:val="005318C7"/>
    <w:rsid w:val="00531D6E"/>
    <w:rsid w:val="00532545"/>
    <w:rsid w:val="00532698"/>
    <w:rsid w:val="00533095"/>
    <w:rsid w:val="005335F3"/>
    <w:rsid w:val="00533D6D"/>
    <w:rsid w:val="00535BFB"/>
    <w:rsid w:val="00537CCA"/>
    <w:rsid w:val="00540263"/>
    <w:rsid w:val="005405AE"/>
    <w:rsid w:val="00540BF7"/>
    <w:rsid w:val="005428FF"/>
    <w:rsid w:val="00542FD2"/>
    <w:rsid w:val="00543D7B"/>
    <w:rsid w:val="005447D0"/>
    <w:rsid w:val="00546B67"/>
    <w:rsid w:val="00554E8E"/>
    <w:rsid w:val="00555461"/>
    <w:rsid w:val="005557C9"/>
    <w:rsid w:val="005578CB"/>
    <w:rsid w:val="005579A5"/>
    <w:rsid w:val="00561FD4"/>
    <w:rsid w:val="00563417"/>
    <w:rsid w:val="00563E83"/>
    <w:rsid w:val="005653A1"/>
    <w:rsid w:val="0056674D"/>
    <w:rsid w:val="00570916"/>
    <w:rsid w:val="00574E3C"/>
    <w:rsid w:val="005766E0"/>
    <w:rsid w:val="00577426"/>
    <w:rsid w:val="005832B2"/>
    <w:rsid w:val="00591483"/>
    <w:rsid w:val="00591A6C"/>
    <w:rsid w:val="005936BB"/>
    <w:rsid w:val="00593737"/>
    <w:rsid w:val="005972A7"/>
    <w:rsid w:val="005978DB"/>
    <w:rsid w:val="00597AA2"/>
    <w:rsid w:val="005A1349"/>
    <w:rsid w:val="005A2507"/>
    <w:rsid w:val="005A2803"/>
    <w:rsid w:val="005A3172"/>
    <w:rsid w:val="005A57FA"/>
    <w:rsid w:val="005A583E"/>
    <w:rsid w:val="005A5BEC"/>
    <w:rsid w:val="005A65A2"/>
    <w:rsid w:val="005A7087"/>
    <w:rsid w:val="005A74FE"/>
    <w:rsid w:val="005A76D9"/>
    <w:rsid w:val="005B2823"/>
    <w:rsid w:val="005B465B"/>
    <w:rsid w:val="005B6F1F"/>
    <w:rsid w:val="005C0755"/>
    <w:rsid w:val="005C2C87"/>
    <w:rsid w:val="005C329C"/>
    <w:rsid w:val="005C52A3"/>
    <w:rsid w:val="005C56A6"/>
    <w:rsid w:val="005D234B"/>
    <w:rsid w:val="005D242A"/>
    <w:rsid w:val="005E0359"/>
    <w:rsid w:val="005E06F0"/>
    <w:rsid w:val="005E10A2"/>
    <w:rsid w:val="005E1B2D"/>
    <w:rsid w:val="005E4831"/>
    <w:rsid w:val="005E6C51"/>
    <w:rsid w:val="005E6F3F"/>
    <w:rsid w:val="005E779D"/>
    <w:rsid w:val="005F3429"/>
    <w:rsid w:val="005F3B68"/>
    <w:rsid w:val="005F4079"/>
    <w:rsid w:val="005F40F5"/>
    <w:rsid w:val="005F6B28"/>
    <w:rsid w:val="005F79E5"/>
    <w:rsid w:val="005F7BC7"/>
    <w:rsid w:val="00603C4D"/>
    <w:rsid w:val="00604520"/>
    <w:rsid w:val="006059E6"/>
    <w:rsid w:val="0060685F"/>
    <w:rsid w:val="00607B7C"/>
    <w:rsid w:val="00610697"/>
    <w:rsid w:val="0061239A"/>
    <w:rsid w:val="00612C0F"/>
    <w:rsid w:val="006133E5"/>
    <w:rsid w:val="00615358"/>
    <w:rsid w:val="00621218"/>
    <w:rsid w:val="0062298E"/>
    <w:rsid w:val="00623598"/>
    <w:rsid w:val="00623979"/>
    <w:rsid w:val="00623BA9"/>
    <w:rsid w:val="0062557C"/>
    <w:rsid w:val="00625AB2"/>
    <w:rsid w:val="00631B4A"/>
    <w:rsid w:val="00633029"/>
    <w:rsid w:val="00633C40"/>
    <w:rsid w:val="00633E40"/>
    <w:rsid w:val="00636361"/>
    <w:rsid w:val="00641982"/>
    <w:rsid w:val="00641F5E"/>
    <w:rsid w:val="0064406E"/>
    <w:rsid w:val="006442DF"/>
    <w:rsid w:val="0064444E"/>
    <w:rsid w:val="00645C62"/>
    <w:rsid w:val="006465AB"/>
    <w:rsid w:val="00646ED5"/>
    <w:rsid w:val="00647711"/>
    <w:rsid w:val="00651E73"/>
    <w:rsid w:val="0065208E"/>
    <w:rsid w:val="00653158"/>
    <w:rsid w:val="00653936"/>
    <w:rsid w:val="00656B1D"/>
    <w:rsid w:val="00661406"/>
    <w:rsid w:val="00662142"/>
    <w:rsid w:val="00664E8B"/>
    <w:rsid w:val="00665335"/>
    <w:rsid w:val="0066604E"/>
    <w:rsid w:val="0066690B"/>
    <w:rsid w:val="00672900"/>
    <w:rsid w:val="00672D32"/>
    <w:rsid w:val="0067394A"/>
    <w:rsid w:val="00675C04"/>
    <w:rsid w:val="00676630"/>
    <w:rsid w:val="00676DF3"/>
    <w:rsid w:val="0068346A"/>
    <w:rsid w:val="006842AD"/>
    <w:rsid w:val="006851C8"/>
    <w:rsid w:val="0068595E"/>
    <w:rsid w:val="006862AA"/>
    <w:rsid w:val="006871B3"/>
    <w:rsid w:val="006873E1"/>
    <w:rsid w:val="00691130"/>
    <w:rsid w:val="006938F4"/>
    <w:rsid w:val="00696E1C"/>
    <w:rsid w:val="006976E0"/>
    <w:rsid w:val="006A0355"/>
    <w:rsid w:val="006A0409"/>
    <w:rsid w:val="006A0667"/>
    <w:rsid w:val="006A0BF8"/>
    <w:rsid w:val="006A2A49"/>
    <w:rsid w:val="006A3233"/>
    <w:rsid w:val="006A362E"/>
    <w:rsid w:val="006A4A3E"/>
    <w:rsid w:val="006A6770"/>
    <w:rsid w:val="006B08A7"/>
    <w:rsid w:val="006B0A68"/>
    <w:rsid w:val="006B0D38"/>
    <w:rsid w:val="006B1523"/>
    <w:rsid w:val="006B1A7B"/>
    <w:rsid w:val="006B1D76"/>
    <w:rsid w:val="006B20B4"/>
    <w:rsid w:val="006B25A1"/>
    <w:rsid w:val="006B3AB9"/>
    <w:rsid w:val="006B3AF3"/>
    <w:rsid w:val="006B4FBB"/>
    <w:rsid w:val="006B5024"/>
    <w:rsid w:val="006B59C4"/>
    <w:rsid w:val="006B5EC0"/>
    <w:rsid w:val="006B7393"/>
    <w:rsid w:val="006B7D15"/>
    <w:rsid w:val="006C3D72"/>
    <w:rsid w:val="006C45BA"/>
    <w:rsid w:val="006C4FFB"/>
    <w:rsid w:val="006C7BCB"/>
    <w:rsid w:val="006D0052"/>
    <w:rsid w:val="006D0CAC"/>
    <w:rsid w:val="006D2575"/>
    <w:rsid w:val="006D4753"/>
    <w:rsid w:val="006D5CAB"/>
    <w:rsid w:val="006E0F76"/>
    <w:rsid w:val="006E1429"/>
    <w:rsid w:val="006E2881"/>
    <w:rsid w:val="006E4522"/>
    <w:rsid w:val="006E4F8A"/>
    <w:rsid w:val="006E64C7"/>
    <w:rsid w:val="006E6682"/>
    <w:rsid w:val="006E673C"/>
    <w:rsid w:val="006F356C"/>
    <w:rsid w:val="006F39FD"/>
    <w:rsid w:val="006F47D9"/>
    <w:rsid w:val="006F6992"/>
    <w:rsid w:val="006F6A88"/>
    <w:rsid w:val="006F7054"/>
    <w:rsid w:val="006F736E"/>
    <w:rsid w:val="006F7C62"/>
    <w:rsid w:val="00700643"/>
    <w:rsid w:val="00704042"/>
    <w:rsid w:val="00706FEC"/>
    <w:rsid w:val="0071118B"/>
    <w:rsid w:val="007133B5"/>
    <w:rsid w:val="00713B26"/>
    <w:rsid w:val="007140BA"/>
    <w:rsid w:val="0071574F"/>
    <w:rsid w:val="00716307"/>
    <w:rsid w:val="00716A85"/>
    <w:rsid w:val="00717E7B"/>
    <w:rsid w:val="00720E26"/>
    <w:rsid w:val="00722637"/>
    <w:rsid w:val="00725291"/>
    <w:rsid w:val="00730242"/>
    <w:rsid w:val="00730BAA"/>
    <w:rsid w:val="00730FA5"/>
    <w:rsid w:val="007313FD"/>
    <w:rsid w:val="00731403"/>
    <w:rsid w:val="00731891"/>
    <w:rsid w:val="0073280F"/>
    <w:rsid w:val="00733178"/>
    <w:rsid w:val="00734993"/>
    <w:rsid w:val="0073629D"/>
    <w:rsid w:val="007369BA"/>
    <w:rsid w:val="0073757A"/>
    <w:rsid w:val="00740752"/>
    <w:rsid w:val="0074284B"/>
    <w:rsid w:val="00744C74"/>
    <w:rsid w:val="007510B8"/>
    <w:rsid w:val="007512F6"/>
    <w:rsid w:val="0075179A"/>
    <w:rsid w:val="00751AB1"/>
    <w:rsid w:val="007548D7"/>
    <w:rsid w:val="007553D4"/>
    <w:rsid w:val="00760AD1"/>
    <w:rsid w:val="00760D93"/>
    <w:rsid w:val="00761133"/>
    <w:rsid w:val="007619FB"/>
    <w:rsid w:val="0076203A"/>
    <w:rsid w:val="00763AF2"/>
    <w:rsid w:val="00767A01"/>
    <w:rsid w:val="00767AF5"/>
    <w:rsid w:val="00771193"/>
    <w:rsid w:val="007729C9"/>
    <w:rsid w:val="00773CB5"/>
    <w:rsid w:val="007742A1"/>
    <w:rsid w:val="00774600"/>
    <w:rsid w:val="00777FF4"/>
    <w:rsid w:val="00781332"/>
    <w:rsid w:val="007819B0"/>
    <w:rsid w:val="007837C1"/>
    <w:rsid w:val="007848E0"/>
    <w:rsid w:val="0078514D"/>
    <w:rsid w:val="00791713"/>
    <w:rsid w:val="00791D2B"/>
    <w:rsid w:val="00794454"/>
    <w:rsid w:val="00795377"/>
    <w:rsid w:val="007A1C46"/>
    <w:rsid w:val="007A2D73"/>
    <w:rsid w:val="007A5E5B"/>
    <w:rsid w:val="007B381B"/>
    <w:rsid w:val="007B56C0"/>
    <w:rsid w:val="007B6F61"/>
    <w:rsid w:val="007B7700"/>
    <w:rsid w:val="007C024F"/>
    <w:rsid w:val="007C10F3"/>
    <w:rsid w:val="007C12C6"/>
    <w:rsid w:val="007C46B5"/>
    <w:rsid w:val="007C6A05"/>
    <w:rsid w:val="007D0868"/>
    <w:rsid w:val="007D13D9"/>
    <w:rsid w:val="007D2E3F"/>
    <w:rsid w:val="007D3430"/>
    <w:rsid w:val="007D3593"/>
    <w:rsid w:val="007D4708"/>
    <w:rsid w:val="007D4B77"/>
    <w:rsid w:val="007D5BC0"/>
    <w:rsid w:val="007D6321"/>
    <w:rsid w:val="007D71B4"/>
    <w:rsid w:val="007D77B2"/>
    <w:rsid w:val="007D7B7B"/>
    <w:rsid w:val="007E0809"/>
    <w:rsid w:val="007E12A1"/>
    <w:rsid w:val="007E7814"/>
    <w:rsid w:val="007F0A2E"/>
    <w:rsid w:val="007F1052"/>
    <w:rsid w:val="007F49BB"/>
    <w:rsid w:val="007F5314"/>
    <w:rsid w:val="007F60AC"/>
    <w:rsid w:val="007F625C"/>
    <w:rsid w:val="007F63D0"/>
    <w:rsid w:val="007F6D48"/>
    <w:rsid w:val="007F6F78"/>
    <w:rsid w:val="007F7114"/>
    <w:rsid w:val="007F730F"/>
    <w:rsid w:val="00800060"/>
    <w:rsid w:val="00800337"/>
    <w:rsid w:val="00800646"/>
    <w:rsid w:val="008009B0"/>
    <w:rsid w:val="00800C95"/>
    <w:rsid w:val="00803597"/>
    <w:rsid w:val="00803BB3"/>
    <w:rsid w:val="00804036"/>
    <w:rsid w:val="008059AB"/>
    <w:rsid w:val="008071A7"/>
    <w:rsid w:val="00807CCB"/>
    <w:rsid w:val="008101FC"/>
    <w:rsid w:val="008108E8"/>
    <w:rsid w:val="0081353F"/>
    <w:rsid w:val="00816407"/>
    <w:rsid w:val="00817E8C"/>
    <w:rsid w:val="00821226"/>
    <w:rsid w:val="00821E37"/>
    <w:rsid w:val="00821E72"/>
    <w:rsid w:val="00823CC6"/>
    <w:rsid w:val="00825809"/>
    <w:rsid w:val="00825F93"/>
    <w:rsid w:val="00831982"/>
    <w:rsid w:val="0083257F"/>
    <w:rsid w:val="00833CF7"/>
    <w:rsid w:val="00835D1C"/>
    <w:rsid w:val="00835E65"/>
    <w:rsid w:val="00836144"/>
    <w:rsid w:val="00836B60"/>
    <w:rsid w:val="00837AFC"/>
    <w:rsid w:val="00841F61"/>
    <w:rsid w:val="008434BA"/>
    <w:rsid w:val="00845D24"/>
    <w:rsid w:val="00845DBC"/>
    <w:rsid w:val="00851093"/>
    <w:rsid w:val="008517A6"/>
    <w:rsid w:val="008522DF"/>
    <w:rsid w:val="008544DB"/>
    <w:rsid w:val="00862FA3"/>
    <w:rsid w:val="00862FDC"/>
    <w:rsid w:val="00863F94"/>
    <w:rsid w:val="00865845"/>
    <w:rsid w:val="00866EEF"/>
    <w:rsid w:val="008757CC"/>
    <w:rsid w:val="008765DF"/>
    <w:rsid w:val="00876EC4"/>
    <w:rsid w:val="0087728F"/>
    <w:rsid w:val="00877453"/>
    <w:rsid w:val="0088064F"/>
    <w:rsid w:val="00880D5D"/>
    <w:rsid w:val="008833CD"/>
    <w:rsid w:val="00885DF1"/>
    <w:rsid w:val="00885F0A"/>
    <w:rsid w:val="00887FCC"/>
    <w:rsid w:val="008903EF"/>
    <w:rsid w:val="00891B08"/>
    <w:rsid w:val="00893524"/>
    <w:rsid w:val="00893FAC"/>
    <w:rsid w:val="0089404C"/>
    <w:rsid w:val="008A03C9"/>
    <w:rsid w:val="008A0859"/>
    <w:rsid w:val="008A1075"/>
    <w:rsid w:val="008A160D"/>
    <w:rsid w:val="008A28F0"/>
    <w:rsid w:val="008A53D4"/>
    <w:rsid w:val="008A5C04"/>
    <w:rsid w:val="008A6AE5"/>
    <w:rsid w:val="008B0272"/>
    <w:rsid w:val="008B43F5"/>
    <w:rsid w:val="008C03A0"/>
    <w:rsid w:val="008C0ED3"/>
    <w:rsid w:val="008C0FFF"/>
    <w:rsid w:val="008C162C"/>
    <w:rsid w:val="008C2C97"/>
    <w:rsid w:val="008C3927"/>
    <w:rsid w:val="008C3A8F"/>
    <w:rsid w:val="008C57E2"/>
    <w:rsid w:val="008C7007"/>
    <w:rsid w:val="008D06F2"/>
    <w:rsid w:val="008D0FEC"/>
    <w:rsid w:val="008D187C"/>
    <w:rsid w:val="008D1976"/>
    <w:rsid w:val="008D3FB0"/>
    <w:rsid w:val="008D4991"/>
    <w:rsid w:val="008D74B3"/>
    <w:rsid w:val="008D7C3D"/>
    <w:rsid w:val="008D7E9D"/>
    <w:rsid w:val="008E0D8C"/>
    <w:rsid w:val="008E18B1"/>
    <w:rsid w:val="008E23D2"/>
    <w:rsid w:val="008E3496"/>
    <w:rsid w:val="008E4197"/>
    <w:rsid w:val="008E463C"/>
    <w:rsid w:val="008E4708"/>
    <w:rsid w:val="008E511D"/>
    <w:rsid w:val="008E58B9"/>
    <w:rsid w:val="008E75AE"/>
    <w:rsid w:val="008F0835"/>
    <w:rsid w:val="008F0CC4"/>
    <w:rsid w:val="008F3D1E"/>
    <w:rsid w:val="008F4B86"/>
    <w:rsid w:val="008F6C51"/>
    <w:rsid w:val="009006A5"/>
    <w:rsid w:val="00900ABC"/>
    <w:rsid w:val="00901698"/>
    <w:rsid w:val="00902B37"/>
    <w:rsid w:val="0090700F"/>
    <w:rsid w:val="00911F5C"/>
    <w:rsid w:val="00911F70"/>
    <w:rsid w:val="009120EB"/>
    <w:rsid w:val="00914473"/>
    <w:rsid w:val="00914F38"/>
    <w:rsid w:val="00915D94"/>
    <w:rsid w:val="00916208"/>
    <w:rsid w:val="00917F97"/>
    <w:rsid w:val="00924AA2"/>
    <w:rsid w:val="009258C6"/>
    <w:rsid w:val="00925985"/>
    <w:rsid w:val="00930A02"/>
    <w:rsid w:val="00931845"/>
    <w:rsid w:val="00931FBC"/>
    <w:rsid w:val="00932C87"/>
    <w:rsid w:val="009401C7"/>
    <w:rsid w:val="00945C56"/>
    <w:rsid w:val="009462DD"/>
    <w:rsid w:val="009526A4"/>
    <w:rsid w:val="00952F8F"/>
    <w:rsid w:val="00953265"/>
    <w:rsid w:val="00953CA5"/>
    <w:rsid w:val="009546D0"/>
    <w:rsid w:val="009561A9"/>
    <w:rsid w:val="00956670"/>
    <w:rsid w:val="0096004A"/>
    <w:rsid w:val="009600BB"/>
    <w:rsid w:val="00961770"/>
    <w:rsid w:val="00961D14"/>
    <w:rsid w:val="00962660"/>
    <w:rsid w:val="00963F04"/>
    <w:rsid w:val="00964B8E"/>
    <w:rsid w:val="009651B9"/>
    <w:rsid w:val="00967CC7"/>
    <w:rsid w:val="00971830"/>
    <w:rsid w:val="0097202A"/>
    <w:rsid w:val="00972E3C"/>
    <w:rsid w:val="00974D66"/>
    <w:rsid w:val="009750E5"/>
    <w:rsid w:val="0097601A"/>
    <w:rsid w:val="0097636F"/>
    <w:rsid w:val="009766BD"/>
    <w:rsid w:val="00976EA8"/>
    <w:rsid w:val="009775C5"/>
    <w:rsid w:val="0098075C"/>
    <w:rsid w:val="0098130D"/>
    <w:rsid w:val="00985EBE"/>
    <w:rsid w:val="009860F5"/>
    <w:rsid w:val="00990B7F"/>
    <w:rsid w:val="009912AB"/>
    <w:rsid w:val="00992545"/>
    <w:rsid w:val="00994C10"/>
    <w:rsid w:val="00995F34"/>
    <w:rsid w:val="00997041"/>
    <w:rsid w:val="00997E5D"/>
    <w:rsid w:val="009A16A5"/>
    <w:rsid w:val="009A56D9"/>
    <w:rsid w:val="009A664B"/>
    <w:rsid w:val="009A702A"/>
    <w:rsid w:val="009A7E90"/>
    <w:rsid w:val="009A7FC5"/>
    <w:rsid w:val="009B0294"/>
    <w:rsid w:val="009B0462"/>
    <w:rsid w:val="009B0DBA"/>
    <w:rsid w:val="009B267A"/>
    <w:rsid w:val="009B3AB9"/>
    <w:rsid w:val="009B542F"/>
    <w:rsid w:val="009B6E5E"/>
    <w:rsid w:val="009B7EF8"/>
    <w:rsid w:val="009C11B1"/>
    <w:rsid w:val="009C13F9"/>
    <w:rsid w:val="009C258D"/>
    <w:rsid w:val="009C402F"/>
    <w:rsid w:val="009C5A69"/>
    <w:rsid w:val="009D1437"/>
    <w:rsid w:val="009D587E"/>
    <w:rsid w:val="009D680A"/>
    <w:rsid w:val="009D7E35"/>
    <w:rsid w:val="009E28A0"/>
    <w:rsid w:val="009E53A3"/>
    <w:rsid w:val="009E5AB7"/>
    <w:rsid w:val="009E65F6"/>
    <w:rsid w:val="009E74DA"/>
    <w:rsid w:val="009F18FD"/>
    <w:rsid w:val="009F2039"/>
    <w:rsid w:val="009F26A6"/>
    <w:rsid w:val="009F2D9A"/>
    <w:rsid w:val="009F4734"/>
    <w:rsid w:val="009F4B6B"/>
    <w:rsid w:val="009F58D0"/>
    <w:rsid w:val="009F79DC"/>
    <w:rsid w:val="00A00BFA"/>
    <w:rsid w:val="00A00DE4"/>
    <w:rsid w:val="00A00FA5"/>
    <w:rsid w:val="00A034D6"/>
    <w:rsid w:val="00A03887"/>
    <w:rsid w:val="00A03DB5"/>
    <w:rsid w:val="00A04B4B"/>
    <w:rsid w:val="00A05486"/>
    <w:rsid w:val="00A06A2B"/>
    <w:rsid w:val="00A07231"/>
    <w:rsid w:val="00A07BF1"/>
    <w:rsid w:val="00A139D3"/>
    <w:rsid w:val="00A144ED"/>
    <w:rsid w:val="00A1609F"/>
    <w:rsid w:val="00A1639A"/>
    <w:rsid w:val="00A16F28"/>
    <w:rsid w:val="00A22594"/>
    <w:rsid w:val="00A22FC1"/>
    <w:rsid w:val="00A2484D"/>
    <w:rsid w:val="00A258C2"/>
    <w:rsid w:val="00A261DF"/>
    <w:rsid w:val="00A276D0"/>
    <w:rsid w:val="00A27C72"/>
    <w:rsid w:val="00A305BA"/>
    <w:rsid w:val="00A32610"/>
    <w:rsid w:val="00A33D09"/>
    <w:rsid w:val="00A35122"/>
    <w:rsid w:val="00A354D5"/>
    <w:rsid w:val="00A359F6"/>
    <w:rsid w:val="00A369A0"/>
    <w:rsid w:val="00A405DB"/>
    <w:rsid w:val="00A44C4E"/>
    <w:rsid w:val="00A50190"/>
    <w:rsid w:val="00A53A87"/>
    <w:rsid w:val="00A54E67"/>
    <w:rsid w:val="00A559D5"/>
    <w:rsid w:val="00A5669A"/>
    <w:rsid w:val="00A57051"/>
    <w:rsid w:val="00A602B0"/>
    <w:rsid w:val="00A60666"/>
    <w:rsid w:val="00A60DB0"/>
    <w:rsid w:val="00A618D1"/>
    <w:rsid w:val="00A666DE"/>
    <w:rsid w:val="00A702FC"/>
    <w:rsid w:val="00A70CFC"/>
    <w:rsid w:val="00A7170F"/>
    <w:rsid w:val="00A71CCB"/>
    <w:rsid w:val="00A72D3C"/>
    <w:rsid w:val="00A7618F"/>
    <w:rsid w:val="00A76FD6"/>
    <w:rsid w:val="00A772EF"/>
    <w:rsid w:val="00A77F8A"/>
    <w:rsid w:val="00A80881"/>
    <w:rsid w:val="00A82FEA"/>
    <w:rsid w:val="00A8408D"/>
    <w:rsid w:val="00A9472C"/>
    <w:rsid w:val="00A96599"/>
    <w:rsid w:val="00AA0A77"/>
    <w:rsid w:val="00AA4A78"/>
    <w:rsid w:val="00AA5259"/>
    <w:rsid w:val="00AA542A"/>
    <w:rsid w:val="00AA61D4"/>
    <w:rsid w:val="00AA7BFD"/>
    <w:rsid w:val="00AA7CF3"/>
    <w:rsid w:val="00AB0454"/>
    <w:rsid w:val="00AB0640"/>
    <w:rsid w:val="00AB1D20"/>
    <w:rsid w:val="00AB4A79"/>
    <w:rsid w:val="00AC372A"/>
    <w:rsid w:val="00AC6805"/>
    <w:rsid w:val="00AD0968"/>
    <w:rsid w:val="00AD241E"/>
    <w:rsid w:val="00AD394D"/>
    <w:rsid w:val="00AD5306"/>
    <w:rsid w:val="00AD6483"/>
    <w:rsid w:val="00AD7835"/>
    <w:rsid w:val="00AE0779"/>
    <w:rsid w:val="00AE2D5A"/>
    <w:rsid w:val="00AE2F65"/>
    <w:rsid w:val="00AE36D5"/>
    <w:rsid w:val="00AE6733"/>
    <w:rsid w:val="00AE6DB1"/>
    <w:rsid w:val="00AF2316"/>
    <w:rsid w:val="00AF3280"/>
    <w:rsid w:val="00AF34C9"/>
    <w:rsid w:val="00AF49E9"/>
    <w:rsid w:val="00AF5ACF"/>
    <w:rsid w:val="00B008C0"/>
    <w:rsid w:val="00B03DFF"/>
    <w:rsid w:val="00B0598C"/>
    <w:rsid w:val="00B05C4B"/>
    <w:rsid w:val="00B05D21"/>
    <w:rsid w:val="00B10D6F"/>
    <w:rsid w:val="00B124AA"/>
    <w:rsid w:val="00B15322"/>
    <w:rsid w:val="00B17C67"/>
    <w:rsid w:val="00B17E32"/>
    <w:rsid w:val="00B2081E"/>
    <w:rsid w:val="00B219FF"/>
    <w:rsid w:val="00B227C4"/>
    <w:rsid w:val="00B229A7"/>
    <w:rsid w:val="00B23112"/>
    <w:rsid w:val="00B23A76"/>
    <w:rsid w:val="00B269D8"/>
    <w:rsid w:val="00B26FFA"/>
    <w:rsid w:val="00B36A6C"/>
    <w:rsid w:val="00B40B55"/>
    <w:rsid w:val="00B412E2"/>
    <w:rsid w:val="00B415F0"/>
    <w:rsid w:val="00B421BD"/>
    <w:rsid w:val="00B429A5"/>
    <w:rsid w:val="00B4627C"/>
    <w:rsid w:val="00B47959"/>
    <w:rsid w:val="00B500C3"/>
    <w:rsid w:val="00B50C53"/>
    <w:rsid w:val="00B50DD5"/>
    <w:rsid w:val="00B544F0"/>
    <w:rsid w:val="00B545A7"/>
    <w:rsid w:val="00B57CC3"/>
    <w:rsid w:val="00B60382"/>
    <w:rsid w:val="00B6158F"/>
    <w:rsid w:val="00B63D1C"/>
    <w:rsid w:val="00B65D67"/>
    <w:rsid w:val="00B67100"/>
    <w:rsid w:val="00B70E30"/>
    <w:rsid w:val="00B715D6"/>
    <w:rsid w:val="00B7167E"/>
    <w:rsid w:val="00B7392D"/>
    <w:rsid w:val="00B74005"/>
    <w:rsid w:val="00B77B04"/>
    <w:rsid w:val="00B8093F"/>
    <w:rsid w:val="00B80A64"/>
    <w:rsid w:val="00B80D70"/>
    <w:rsid w:val="00B83213"/>
    <w:rsid w:val="00B87D56"/>
    <w:rsid w:val="00B9004B"/>
    <w:rsid w:val="00B904C4"/>
    <w:rsid w:val="00B90CD4"/>
    <w:rsid w:val="00B91F8D"/>
    <w:rsid w:val="00B93728"/>
    <w:rsid w:val="00B93D3F"/>
    <w:rsid w:val="00B9565B"/>
    <w:rsid w:val="00B95CBE"/>
    <w:rsid w:val="00B975EE"/>
    <w:rsid w:val="00B97900"/>
    <w:rsid w:val="00BA14F1"/>
    <w:rsid w:val="00BA1AB4"/>
    <w:rsid w:val="00BA29A4"/>
    <w:rsid w:val="00BA2DD4"/>
    <w:rsid w:val="00BA4CDF"/>
    <w:rsid w:val="00BA51C3"/>
    <w:rsid w:val="00BB2E58"/>
    <w:rsid w:val="00BB52F5"/>
    <w:rsid w:val="00BB6A5E"/>
    <w:rsid w:val="00BB6E6E"/>
    <w:rsid w:val="00BC005D"/>
    <w:rsid w:val="00BC10F8"/>
    <w:rsid w:val="00BC53DB"/>
    <w:rsid w:val="00BD426A"/>
    <w:rsid w:val="00BD6464"/>
    <w:rsid w:val="00BD64C2"/>
    <w:rsid w:val="00BD72A1"/>
    <w:rsid w:val="00BE11A5"/>
    <w:rsid w:val="00BE2C29"/>
    <w:rsid w:val="00BE2DAD"/>
    <w:rsid w:val="00BE3069"/>
    <w:rsid w:val="00BE41A3"/>
    <w:rsid w:val="00BE546A"/>
    <w:rsid w:val="00BE5D68"/>
    <w:rsid w:val="00BE62EA"/>
    <w:rsid w:val="00BF7038"/>
    <w:rsid w:val="00BF7AAD"/>
    <w:rsid w:val="00C0001A"/>
    <w:rsid w:val="00C00074"/>
    <w:rsid w:val="00C001DF"/>
    <w:rsid w:val="00C00F1D"/>
    <w:rsid w:val="00C020A0"/>
    <w:rsid w:val="00C0578A"/>
    <w:rsid w:val="00C067AE"/>
    <w:rsid w:val="00C06CDD"/>
    <w:rsid w:val="00C07AED"/>
    <w:rsid w:val="00C1061F"/>
    <w:rsid w:val="00C10AC0"/>
    <w:rsid w:val="00C11B55"/>
    <w:rsid w:val="00C11CB1"/>
    <w:rsid w:val="00C129C4"/>
    <w:rsid w:val="00C12BB9"/>
    <w:rsid w:val="00C16E0E"/>
    <w:rsid w:val="00C17CDB"/>
    <w:rsid w:val="00C224C8"/>
    <w:rsid w:val="00C229BF"/>
    <w:rsid w:val="00C25779"/>
    <w:rsid w:val="00C3150F"/>
    <w:rsid w:val="00C320EC"/>
    <w:rsid w:val="00C331DC"/>
    <w:rsid w:val="00C338DB"/>
    <w:rsid w:val="00C33B68"/>
    <w:rsid w:val="00C3580C"/>
    <w:rsid w:val="00C3645D"/>
    <w:rsid w:val="00C37602"/>
    <w:rsid w:val="00C413F4"/>
    <w:rsid w:val="00C4449E"/>
    <w:rsid w:val="00C47C47"/>
    <w:rsid w:val="00C521FE"/>
    <w:rsid w:val="00C540BB"/>
    <w:rsid w:val="00C54CCA"/>
    <w:rsid w:val="00C54F22"/>
    <w:rsid w:val="00C55D84"/>
    <w:rsid w:val="00C56393"/>
    <w:rsid w:val="00C56BFB"/>
    <w:rsid w:val="00C6171B"/>
    <w:rsid w:val="00C61909"/>
    <w:rsid w:val="00C62A27"/>
    <w:rsid w:val="00C64580"/>
    <w:rsid w:val="00C64624"/>
    <w:rsid w:val="00C65E08"/>
    <w:rsid w:val="00C67192"/>
    <w:rsid w:val="00C718B7"/>
    <w:rsid w:val="00C71968"/>
    <w:rsid w:val="00C73715"/>
    <w:rsid w:val="00C75274"/>
    <w:rsid w:val="00C76420"/>
    <w:rsid w:val="00C77AFE"/>
    <w:rsid w:val="00C800CB"/>
    <w:rsid w:val="00C80386"/>
    <w:rsid w:val="00C8108C"/>
    <w:rsid w:val="00C83113"/>
    <w:rsid w:val="00C8352C"/>
    <w:rsid w:val="00C909AC"/>
    <w:rsid w:val="00C90F7F"/>
    <w:rsid w:val="00C93118"/>
    <w:rsid w:val="00C93AE1"/>
    <w:rsid w:val="00C940BF"/>
    <w:rsid w:val="00C947EB"/>
    <w:rsid w:val="00C95610"/>
    <w:rsid w:val="00C95715"/>
    <w:rsid w:val="00C968B4"/>
    <w:rsid w:val="00C971F9"/>
    <w:rsid w:val="00C97317"/>
    <w:rsid w:val="00CA1B7B"/>
    <w:rsid w:val="00CA1CA8"/>
    <w:rsid w:val="00CA3E94"/>
    <w:rsid w:val="00CA406B"/>
    <w:rsid w:val="00CB0724"/>
    <w:rsid w:val="00CB0CB0"/>
    <w:rsid w:val="00CB0ED4"/>
    <w:rsid w:val="00CB1EFF"/>
    <w:rsid w:val="00CB4C4E"/>
    <w:rsid w:val="00CB5706"/>
    <w:rsid w:val="00CB5DCD"/>
    <w:rsid w:val="00CB682F"/>
    <w:rsid w:val="00CB7A61"/>
    <w:rsid w:val="00CC1B49"/>
    <w:rsid w:val="00CC24EB"/>
    <w:rsid w:val="00CC363D"/>
    <w:rsid w:val="00CC41FF"/>
    <w:rsid w:val="00CC64CA"/>
    <w:rsid w:val="00CC68BB"/>
    <w:rsid w:val="00CD2367"/>
    <w:rsid w:val="00CD3B05"/>
    <w:rsid w:val="00CD4387"/>
    <w:rsid w:val="00CE015E"/>
    <w:rsid w:val="00CE0215"/>
    <w:rsid w:val="00CE5E1A"/>
    <w:rsid w:val="00CE64FE"/>
    <w:rsid w:val="00CE6A7A"/>
    <w:rsid w:val="00CE7F7E"/>
    <w:rsid w:val="00CF025B"/>
    <w:rsid w:val="00CF0602"/>
    <w:rsid w:val="00CF1711"/>
    <w:rsid w:val="00CF1C87"/>
    <w:rsid w:val="00CF1E9D"/>
    <w:rsid w:val="00CF22B9"/>
    <w:rsid w:val="00CF2D7E"/>
    <w:rsid w:val="00CF3F70"/>
    <w:rsid w:val="00CF4A51"/>
    <w:rsid w:val="00D00E82"/>
    <w:rsid w:val="00D0233D"/>
    <w:rsid w:val="00D023EE"/>
    <w:rsid w:val="00D0240D"/>
    <w:rsid w:val="00D040A1"/>
    <w:rsid w:val="00D04291"/>
    <w:rsid w:val="00D0436A"/>
    <w:rsid w:val="00D0545F"/>
    <w:rsid w:val="00D111F5"/>
    <w:rsid w:val="00D12861"/>
    <w:rsid w:val="00D136B7"/>
    <w:rsid w:val="00D13A88"/>
    <w:rsid w:val="00D14DDC"/>
    <w:rsid w:val="00D20378"/>
    <w:rsid w:val="00D216A2"/>
    <w:rsid w:val="00D2214C"/>
    <w:rsid w:val="00D23326"/>
    <w:rsid w:val="00D237DE"/>
    <w:rsid w:val="00D23962"/>
    <w:rsid w:val="00D24A4B"/>
    <w:rsid w:val="00D26F12"/>
    <w:rsid w:val="00D31B0E"/>
    <w:rsid w:val="00D31E17"/>
    <w:rsid w:val="00D3376F"/>
    <w:rsid w:val="00D350A6"/>
    <w:rsid w:val="00D3783E"/>
    <w:rsid w:val="00D37A3C"/>
    <w:rsid w:val="00D412D6"/>
    <w:rsid w:val="00D41C54"/>
    <w:rsid w:val="00D41CFB"/>
    <w:rsid w:val="00D43903"/>
    <w:rsid w:val="00D43FD9"/>
    <w:rsid w:val="00D4408D"/>
    <w:rsid w:val="00D44CBD"/>
    <w:rsid w:val="00D45874"/>
    <w:rsid w:val="00D46755"/>
    <w:rsid w:val="00D479AF"/>
    <w:rsid w:val="00D500A1"/>
    <w:rsid w:val="00D51BB1"/>
    <w:rsid w:val="00D5420C"/>
    <w:rsid w:val="00D5565D"/>
    <w:rsid w:val="00D558F9"/>
    <w:rsid w:val="00D57547"/>
    <w:rsid w:val="00D60137"/>
    <w:rsid w:val="00D6173A"/>
    <w:rsid w:val="00D65084"/>
    <w:rsid w:val="00D65680"/>
    <w:rsid w:val="00D6604C"/>
    <w:rsid w:val="00D66756"/>
    <w:rsid w:val="00D66ACE"/>
    <w:rsid w:val="00D67BAD"/>
    <w:rsid w:val="00D729A5"/>
    <w:rsid w:val="00D72ECB"/>
    <w:rsid w:val="00D76019"/>
    <w:rsid w:val="00D76B5F"/>
    <w:rsid w:val="00D85AF2"/>
    <w:rsid w:val="00D86B2D"/>
    <w:rsid w:val="00D91190"/>
    <w:rsid w:val="00D91D3F"/>
    <w:rsid w:val="00D91FDE"/>
    <w:rsid w:val="00D97654"/>
    <w:rsid w:val="00D9781D"/>
    <w:rsid w:val="00DA005F"/>
    <w:rsid w:val="00DA0942"/>
    <w:rsid w:val="00DA0D04"/>
    <w:rsid w:val="00DB11AA"/>
    <w:rsid w:val="00DB3EE7"/>
    <w:rsid w:val="00DB4191"/>
    <w:rsid w:val="00DB7352"/>
    <w:rsid w:val="00DB7F2C"/>
    <w:rsid w:val="00DC17C3"/>
    <w:rsid w:val="00DC2CBA"/>
    <w:rsid w:val="00DC33A5"/>
    <w:rsid w:val="00DC33AD"/>
    <w:rsid w:val="00DC34D3"/>
    <w:rsid w:val="00DC4940"/>
    <w:rsid w:val="00DC495A"/>
    <w:rsid w:val="00DC5266"/>
    <w:rsid w:val="00DD46A3"/>
    <w:rsid w:val="00DD50B4"/>
    <w:rsid w:val="00DD739B"/>
    <w:rsid w:val="00DD760F"/>
    <w:rsid w:val="00DE0B28"/>
    <w:rsid w:val="00DE4B08"/>
    <w:rsid w:val="00DE6765"/>
    <w:rsid w:val="00DE7014"/>
    <w:rsid w:val="00DE7BB8"/>
    <w:rsid w:val="00DF0212"/>
    <w:rsid w:val="00DF2525"/>
    <w:rsid w:val="00DF2BAA"/>
    <w:rsid w:val="00DF2F90"/>
    <w:rsid w:val="00DF45FF"/>
    <w:rsid w:val="00DF7755"/>
    <w:rsid w:val="00E00132"/>
    <w:rsid w:val="00E01250"/>
    <w:rsid w:val="00E019D1"/>
    <w:rsid w:val="00E02705"/>
    <w:rsid w:val="00E03D24"/>
    <w:rsid w:val="00E04041"/>
    <w:rsid w:val="00E05701"/>
    <w:rsid w:val="00E0753C"/>
    <w:rsid w:val="00E07EE4"/>
    <w:rsid w:val="00E11488"/>
    <w:rsid w:val="00E12B5E"/>
    <w:rsid w:val="00E1450C"/>
    <w:rsid w:val="00E158A2"/>
    <w:rsid w:val="00E16F62"/>
    <w:rsid w:val="00E1750C"/>
    <w:rsid w:val="00E22D17"/>
    <w:rsid w:val="00E23C98"/>
    <w:rsid w:val="00E26992"/>
    <w:rsid w:val="00E277A1"/>
    <w:rsid w:val="00E30502"/>
    <w:rsid w:val="00E325C7"/>
    <w:rsid w:val="00E359B9"/>
    <w:rsid w:val="00E37B8A"/>
    <w:rsid w:val="00E41D82"/>
    <w:rsid w:val="00E42135"/>
    <w:rsid w:val="00E42492"/>
    <w:rsid w:val="00E426E5"/>
    <w:rsid w:val="00E43030"/>
    <w:rsid w:val="00E43A3A"/>
    <w:rsid w:val="00E43E6A"/>
    <w:rsid w:val="00E4464A"/>
    <w:rsid w:val="00E47137"/>
    <w:rsid w:val="00E512B0"/>
    <w:rsid w:val="00E527E9"/>
    <w:rsid w:val="00E53665"/>
    <w:rsid w:val="00E5372B"/>
    <w:rsid w:val="00E53C08"/>
    <w:rsid w:val="00E54B0E"/>
    <w:rsid w:val="00E5768A"/>
    <w:rsid w:val="00E5779F"/>
    <w:rsid w:val="00E57A60"/>
    <w:rsid w:val="00E61736"/>
    <w:rsid w:val="00E61CDC"/>
    <w:rsid w:val="00E6487C"/>
    <w:rsid w:val="00E64C9D"/>
    <w:rsid w:val="00E6544B"/>
    <w:rsid w:val="00E65876"/>
    <w:rsid w:val="00E70574"/>
    <w:rsid w:val="00E718A6"/>
    <w:rsid w:val="00E7713B"/>
    <w:rsid w:val="00E777C5"/>
    <w:rsid w:val="00E80FBE"/>
    <w:rsid w:val="00E818A8"/>
    <w:rsid w:val="00E81E9F"/>
    <w:rsid w:val="00E82183"/>
    <w:rsid w:val="00E84C74"/>
    <w:rsid w:val="00E85F6A"/>
    <w:rsid w:val="00E8679F"/>
    <w:rsid w:val="00E9069C"/>
    <w:rsid w:val="00E909DA"/>
    <w:rsid w:val="00E913FF"/>
    <w:rsid w:val="00E9331A"/>
    <w:rsid w:val="00E96B6D"/>
    <w:rsid w:val="00E97E4C"/>
    <w:rsid w:val="00E97F75"/>
    <w:rsid w:val="00EA5044"/>
    <w:rsid w:val="00EA7D5B"/>
    <w:rsid w:val="00EB0F82"/>
    <w:rsid w:val="00EB118F"/>
    <w:rsid w:val="00EB1F53"/>
    <w:rsid w:val="00EB4683"/>
    <w:rsid w:val="00EB602D"/>
    <w:rsid w:val="00EB6817"/>
    <w:rsid w:val="00EB7E2E"/>
    <w:rsid w:val="00EC05E8"/>
    <w:rsid w:val="00EC20F1"/>
    <w:rsid w:val="00EC2289"/>
    <w:rsid w:val="00EC2B3F"/>
    <w:rsid w:val="00EC30C2"/>
    <w:rsid w:val="00EC3BD7"/>
    <w:rsid w:val="00EC3C5B"/>
    <w:rsid w:val="00EC3FA1"/>
    <w:rsid w:val="00EC5EF3"/>
    <w:rsid w:val="00EC6EDE"/>
    <w:rsid w:val="00EC73DD"/>
    <w:rsid w:val="00ED0DA7"/>
    <w:rsid w:val="00ED1939"/>
    <w:rsid w:val="00ED1A01"/>
    <w:rsid w:val="00ED2FE7"/>
    <w:rsid w:val="00ED36D4"/>
    <w:rsid w:val="00ED3805"/>
    <w:rsid w:val="00ED3841"/>
    <w:rsid w:val="00ED3B05"/>
    <w:rsid w:val="00ED4BF0"/>
    <w:rsid w:val="00ED5B24"/>
    <w:rsid w:val="00ED5E2F"/>
    <w:rsid w:val="00EE0E1C"/>
    <w:rsid w:val="00EE38FD"/>
    <w:rsid w:val="00EE4333"/>
    <w:rsid w:val="00EE4A43"/>
    <w:rsid w:val="00EE5B66"/>
    <w:rsid w:val="00EF12D0"/>
    <w:rsid w:val="00EF2547"/>
    <w:rsid w:val="00EF5573"/>
    <w:rsid w:val="00EF5E39"/>
    <w:rsid w:val="00EF5FB4"/>
    <w:rsid w:val="00F03F64"/>
    <w:rsid w:val="00F042C1"/>
    <w:rsid w:val="00F045FB"/>
    <w:rsid w:val="00F0496E"/>
    <w:rsid w:val="00F05A2A"/>
    <w:rsid w:val="00F060E9"/>
    <w:rsid w:val="00F07BFB"/>
    <w:rsid w:val="00F109E0"/>
    <w:rsid w:val="00F12D01"/>
    <w:rsid w:val="00F1317F"/>
    <w:rsid w:val="00F13905"/>
    <w:rsid w:val="00F14247"/>
    <w:rsid w:val="00F14918"/>
    <w:rsid w:val="00F1534E"/>
    <w:rsid w:val="00F2209C"/>
    <w:rsid w:val="00F220BC"/>
    <w:rsid w:val="00F2344D"/>
    <w:rsid w:val="00F23EFD"/>
    <w:rsid w:val="00F245F7"/>
    <w:rsid w:val="00F25DC2"/>
    <w:rsid w:val="00F30E9B"/>
    <w:rsid w:val="00F3442B"/>
    <w:rsid w:val="00F35A19"/>
    <w:rsid w:val="00F36F9F"/>
    <w:rsid w:val="00F37610"/>
    <w:rsid w:val="00F40BD7"/>
    <w:rsid w:val="00F41044"/>
    <w:rsid w:val="00F41610"/>
    <w:rsid w:val="00F41878"/>
    <w:rsid w:val="00F4630D"/>
    <w:rsid w:val="00F4695B"/>
    <w:rsid w:val="00F46A3F"/>
    <w:rsid w:val="00F47518"/>
    <w:rsid w:val="00F50532"/>
    <w:rsid w:val="00F52439"/>
    <w:rsid w:val="00F5261B"/>
    <w:rsid w:val="00F548D2"/>
    <w:rsid w:val="00F55303"/>
    <w:rsid w:val="00F60439"/>
    <w:rsid w:val="00F609B3"/>
    <w:rsid w:val="00F617DE"/>
    <w:rsid w:val="00F623C8"/>
    <w:rsid w:val="00F63922"/>
    <w:rsid w:val="00F64331"/>
    <w:rsid w:val="00F67816"/>
    <w:rsid w:val="00F72058"/>
    <w:rsid w:val="00F737AC"/>
    <w:rsid w:val="00F73C35"/>
    <w:rsid w:val="00F73E1E"/>
    <w:rsid w:val="00F74C39"/>
    <w:rsid w:val="00F74CEA"/>
    <w:rsid w:val="00F75168"/>
    <w:rsid w:val="00F77E94"/>
    <w:rsid w:val="00F803D2"/>
    <w:rsid w:val="00F808D8"/>
    <w:rsid w:val="00F81130"/>
    <w:rsid w:val="00F8405B"/>
    <w:rsid w:val="00F85C49"/>
    <w:rsid w:val="00F9258D"/>
    <w:rsid w:val="00F925E2"/>
    <w:rsid w:val="00F93629"/>
    <w:rsid w:val="00F9525E"/>
    <w:rsid w:val="00F952C5"/>
    <w:rsid w:val="00F95643"/>
    <w:rsid w:val="00F96A43"/>
    <w:rsid w:val="00F97429"/>
    <w:rsid w:val="00FA2416"/>
    <w:rsid w:val="00FA2A79"/>
    <w:rsid w:val="00FA31A5"/>
    <w:rsid w:val="00FA361C"/>
    <w:rsid w:val="00FA370C"/>
    <w:rsid w:val="00FA3C47"/>
    <w:rsid w:val="00FA44FB"/>
    <w:rsid w:val="00FA4749"/>
    <w:rsid w:val="00FA53B1"/>
    <w:rsid w:val="00FA6F2C"/>
    <w:rsid w:val="00FB0CC5"/>
    <w:rsid w:val="00FB0D21"/>
    <w:rsid w:val="00FB0E4B"/>
    <w:rsid w:val="00FB2607"/>
    <w:rsid w:val="00FB29FB"/>
    <w:rsid w:val="00FB31FA"/>
    <w:rsid w:val="00FB3BFF"/>
    <w:rsid w:val="00FB3EB6"/>
    <w:rsid w:val="00FB4459"/>
    <w:rsid w:val="00FB5D65"/>
    <w:rsid w:val="00FB6232"/>
    <w:rsid w:val="00FC1818"/>
    <w:rsid w:val="00FC2047"/>
    <w:rsid w:val="00FC2763"/>
    <w:rsid w:val="00FC322D"/>
    <w:rsid w:val="00FD13B7"/>
    <w:rsid w:val="00FD259F"/>
    <w:rsid w:val="00FD43DC"/>
    <w:rsid w:val="00FD56CC"/>
    <w:rsid w:val="00FD5A54"/>
    <w:rsid w:val="00FD5D76"/>
    <w:rsid w:val="00FD6179"/>
    <w:rsid w:val="00FD6E37"/>
    <w:rsid w:val="00FD7A4A"/>
    <w:rsid w:val="00FD7F9C"/>
    <w:rsid w:val="00FE0406"/>
    <w:rsid w:val="00FE0D65"/>
    <w:rsid w:val="00FE1978"/>
    <w:rsid w:val="00FE2367"/>
    <w:rsid w:val="00FE2A23"/>
    <w:rsid w:val="00FE326C"/>
    <w:rsid w:val="00FE327A"/>
    <w:rsid w:val="00FE3EF9"/>
    <w:rsid w:val="00FE7819"/>
    <w:rsid w:val="00FF0695"/>
    <w:rsid w:val="00FF209C"/>
    <w:rsid w:val="00FF30F2"/>
    <w:rsid w:val="00FF3C43"/>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C05F7E"/>
  <w15:chartTrackingRefBased/>
  <w15:docId w15:val="{EC2BB4DB-248C-4F44-B8B8-37CAE7F38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footnote reference" w:uiPriority="99"/>
    <w:lsdException w:name="annotation reference"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 w:eastAsia="es-ES"/>
    </w:rPr>
  </w:style>
  <w:style w:type="paragraph" w:styleId="Ttulo1">
    <w:name w:val="heading 1"/>
    <w:basedOn w:val="Normal"/>
    <w:next w:val="Normal"/>
    <w:link w:val="Ttulo1Car"/>
    <w:uiPriority w:val="99"/>
    <w:qFormat/>
    <w:rsid w:val="00825F93"/>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nhideWhenUsed/>
    <w:qFormat/>
    <w:rsid w:val="006E452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6E4522"/>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nhideWhenUsed/>
    <w:qFormat/>
    <w:rsid w:val="00D23962"/>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qFormat/>
    <w:rsid w:val="00651E73"/>
    <w:pPr>
      <w:spacing w:before="240" w:after="60"/>
      <w:outlineLvl w:val="4"/>
    </w:pPr>
    <w:rPr>
      <w:b/>
      <w:bCs/>
      <w:i/>
      <w:iCs/>
      <w:sz w:val="26"/>
      <w:szCs w:val="26"/>
    </w:rPr>
  </w:style>
  <w:style w:type="paragraph" w:styleId="Ttulo6">
    <w:name w:val="heading 6"/>
    <w:basedOn w:val="Normal"/>
    <w:next w:val="Normal"/>
    <w:link w:val="Ttulo6Car"/>
    <w:qFormat/>
    <w:rsid w:val="004C5DDD"/>
    <w:pPr>
      <w:keepNext/>
      <w:jc w:val="center"/>
      <w:outlineLvl w:val="5"/>
    </w:pPr>
    <w:rPr>
      <w:rFonts w:ascii="Arial" w:hAnsi="Arial" w:cs="Arial"/>
      <w:b/>
      <w:szCs w:val="20"/>
    </w:rPr>
  </w:style>
  <w:style w:type="paragraph" w:styleId="Ttulo7">
    <w:name w:val="heading 7"/>
    <w:basedOn w:val="Normal"/>
    <w:next w:val="Normal"/>
    <w:link w:val="Ttulo7Car"/>
    <w:semiHidden/>
    <w:unhideWhenUsed/>
    <w:qFormat/>
    <w:rsid w:val="008D187C"/>
    <w:pPr>
      <w:keepNext/>
      <w:keepLines/>
      <w:spacing w:before="40"/>
      <w:outlineLvl w:val="6"/>
    </w:pPr>
    <w:rPr>
      <w:rFonts w:ascii="Cambria" w:hAnsi="Cambria"/>
      <w:i/>
      <w:iCs/>
      <w:color w:val="404040"/>
      <w:sz w:val="20"/>
      <w:szCs w:val="20"/>
      <w:lang w:val="es-CR"/>
    </w:rPr>
  </w:style>
  <w:style w:type="paragraph" w:styleId="Ttulo8">
    <w:name w:val="heading 8"/>
    <w:basedOn w:val="Normal"/>
    <w:next w:val="Normal"/>
    <w:link w:val="Ttulo8Car"/>
    <w:qFormat/>
    <w:rsid w:val="008D187C"/>
    <w:pPr>
      <w:spacing w:before="240" w:after="60"/>
      <w:outlineLvl w:val="7"/>
    </w:pPr>
    <w:rPr>
      <w:i/>
      <w:iCs/>
      <w:lang w:val="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5978DB"/>
    <w:rPr>
      <w:rFonts w:ascii="Tahoma" w:hAnsi="Tahoma"/>
      <w:sz w:val="16"/>
      <w:szCs w:val="16"/>
    </w:rPr>
  </w:style>
  <w:style w:type="paragraph" w:styleId="Prrafodelista">
    <w:name w:val="List Paragraph"/>
    <w:aliases w:val="texto con viñeta,Sin sangría,Cuadrícula media 1 - Énfasis 21,Tablas,Bullet 1,Use Case List Paragraph,Texto,List Paragraph1"/>
    <w:basedOn w:val="Normal"/>
    <w:link w:val="PrrafodelistaCar"/>
    <w:uiPriority w:val="34"/>
    <w:qFormat/>
    <w:rsid w:val="00730242"/>
    <w:pPr>
      <w:ind w:left="708"/>
    </w:pPr>
  </w:style>
  <w:style w:type="paragraph" w:styleId="Encabezado">
    <w:name w:val="header"/>
    <w:basedOn w:val="Normal"/>
    <w:link w:val="EncabezadoCar"/>
    <w:uiPriority w:val="99"/>
    <w:rsid w:val="004C5DDD"/>
    <w:pPr>
      <w:tabs>
        <w:tab w:val="center" w:pos="4252"/>
        <w:tab w:val="right" w:pos="8504"/>
      </w:tabs>
    </w:pPr>
    <w:rPr>
      <w:rFonts w:ascii="Arial" w:hAnsi="Arial" w:cs="Arial"/>
      <w:i/>
      <w:sz w:val="16"/>
      <w:szCs w:val="20"/>
    </w:rPr>
  </w:style>
  <w:style w:type="paragraph" w:customStyle="1" w:styleId="Fuentedeprrafopredet">
    <w:name w:val="Fuente de párrafo predet"/>
    <w:rsid w:val="00077D4B"/>
    <w:pPr>
      <w:widowControl w:val="0"/>
    </w:pPr>
    <w:rPr>
      <w:rFonts w:ascii="CG Times (W1)" w:hAnsi="CG Times (W1)"/>
      <w:lang w:val="es-ES" w:eastAsia="es-ES"/>
    </w:rPr>
  </w:style>
  <w:style w:type="paragraph" w:styleId="Textoindependiente3">
    <w:name w:val="Body Text 3"/>
    <w:basedOn w:val="Normal"/>
    <w:rsid w:val="002668E5"/>
    <w:pPr>
      <w:jc w:val="both"/>
    </w:pPr>
    <w:rPr>
      <w:rFonts w:ascii="Arial" w:hAnsi="Arial" w:cs="Arial"/>
      <w:i/>
      <w:iCs/>
      <w:u w:val="single"/>
    </w:rPr>
  </w:style>
  <w:style w:type="paragraph" w:styleId="Piedepgina">
    <w:name w:val="footer"/>
    <w:basedOn w:val="Normal"/>
    <w:link w:val="PiedepginaCar"/>
    <w:uiPriority w:val="99"/>
    <w:rsid w:val="008C0FFF"/>
    <w:pPr>
      <w:tabs>
        <w:tab w:val="center" w:pos="4252"/>
        <w:tab w:val="right" w:pos="8504"/>
      </w:tabs>
    </w:pPr>
  </w:style>
  <w:style w:type="paragraph" w:styleId="Textoindependiente">
    <w:name w:val="Body Text"/>
    <w:basedOn w:val="Normal"/>
    <w:link w:val="TextoindependienteCar"/>
    <w:rsid w:val="00825F93"/>
    <w:pPr>
      <w:spacing w:after="120"/>
    </w:pPr>
  </w:style>
  <w:style w:type="character" w:customStyle="1" w:styleId="TextoindependienteCar">
    <w:name w:val="Texto independiente Car"/>
    <w:link w:val="Textoindependiente"/>
    <w:rsid w:val="00825F93"/>
    <w:rPr>
      <w:sz w:val="24"/>
      <w:szCs w:val="24"/>
      <w:lang w:val="es-ES" w:eastAsia="es-ES"/>
    </w:rPr>
  </w:style>
  <w:style w:type="paragraph" w:customStyle="1" w:styleId="clau">
    <w:name w:val="clau"/>
    <w:basedOn w:val="Ttulo1"/>
    <w:next w:val="Normal"/>
    <w:autoRedefine/>
    <w:rsid w:val="00825F93"/>
    <w:pPr>
      <w:numPr>
        <w:numId w:val="1"/>
      </w:numPr>
      <w:tabs>
        <w:tab w:val="clear" w:pos="357"/>
        <w:tab w:val="num" w:pos="720"/>
      </w:tabs>
      <w:spacing w:before="120" w:after="0"/>
      <w:ind w:left="720" w:hanging="360"/>
      <w:jc w:val="both"/>
    </w:pPr>
    <w:rPr>
      <w:rFonts w:ascii="Arial" w:hAnsi="Arial"/>
      <w:kern w:val="0"/>
      <w:sz w:val="24"/>
      <w:szCs w:val="20"/>
    </w:rPr>
  </w:style>
  <w:style w:type="character" w:customStyle="1" w:styleId="Ttulo1Car">
    <w:name w:val="Título 1 Car"/>
    <w:link w:val="Ttulo1"/>
    <w:uiPriority w:val="99"/>
    <w:rsid w:val="00825F93"/>
    <w:rPr>
      <w:rFonts w:ascii="Calibri Light" w:eastAsia="Times New Roman" w:hAnsi="Calibri Light" w:cs="Times New Roman"/>
      <w:b/>
      <w:bCs/>
      <w:kern w:val="32"/>
      <w:sz w:val="32"/>
      <w:szCs w:val="32"/>
      <w:lang w:val="es-ES" w:eastAsia="es-ES"/>
    </w:rPr>
  </w:style>
  <w:style w:type="character" w:customStyle="1" w:styleId="PiedepginaCar">
    <w:name w:val="Pie de página Car"/>
    <w:basedOn w:val="Fuentedeprrafopredeter"/>
    <w:link w:val="Piedepgina"/>
    <w:uiPriority w:val="99"/>
    <w:rsid w:val="00CE0215"/>
    <w:rPr>
      <w:sz w:val="24"/>
      <w:szCs w:val="24"/>
      <w:lang w:val="es-ES" w:eastAsia="es-ES"/>
    </w:rPr>
  </w:style>
  <w:style w:type="character" w:customStyle="1" w:styleId="PrrafodelistaCar">
    <w:name w:val="Párrafo de lista Car"/>
    <w:aliases w:val="texto con viñeta Car,Sin sangría Car,Cuadrícula media 1 - Énfasis 21 Car,Tablas Car,Bullet 1 Car,Use Case List Paragraph Car,Texto Car,List Paragraph1 Car"/>
    <w:basedOn w:val="Fuentedeprrafopredeter"/>
    <w:link w:val="Prrafodelista"/>
    <w:uiPriority w:val="34"/>
    <w:qFormat/>
    <w:rsid w:val="00380871"/>
    <w:rPr>
      <w:sz w:val="24"/>
      <w:szCs w:val="24"/>
      <w:lang w:val="es-ES" w:eastAsia="es-ES"/>
    </w:rPr>
  </w:style>
  <w:style w:type="paragraph" w:styleId="Textonotapie">
    <w:name w:val="footnote text"/>
    <w:aliases w:val="Footnote Text Char2,Footnote Text Char1 Char1,Footnote Text Char Char Char,Footnote Text Char1 Char Char Char,Footnote Text Char Char Char Char Char,Footnote Text Char1 Char Char Char Char Char,Footnote Text Char,Footnote Text Char1 Char"/>
    <w:basedOn w:val="Normal"/>
    <w:link w:val="TextonotapieCar"/>
    <w:unhideWhenUsed/>
    <w:rsid w:val="00B80A64"/>
    <w:rPr>
      <w:rFonts w:ascii="Cambria" w:eastAsia="Cambria" w:hAnsi="Cambria"/>
      <w:sz w:val="20"/>
      <w:szCs w:val="20"/>
      <w:lang w:val="es-ES_tradnl" w:eastAsia="en-US"/>
    </w:rPr>
  </w:style>
  <w:style w:type="character" w:customStyle="1" w:styleId="TextonotapieCar">
    <w:name w:val="Texto nota pie Car"/>
    <w:aliases w:val="Footnote Text Char2 Car,Footnote Text Char1 Char1 Car,Footnote Text Char Char Char Car,Footnote Text Char1 Char Char Char Car,Footnote Text Char Char Char Char Char Car,Footnote Text Char1 Char Char Char Char Char Car"/>
    <w:basedOn w:val="Fuentedeprrafopredeter"/>
    <w:link w:val="Textonotapie"/>
    <w:rsid w:val="00B80A64"/>
    <w:rPr>
      <w:rFonts w:ascii="Cambria" w:eastAsia="Cambria" w:hAnsi="Cambria"/>
      <w:lang w:val="es-ES_tradnl" w:eastAsia="en-US"/>
    </w:rPr>
  </w:style>
  <w:style w:type="character" w:customStyle="1" w:styleId="Ttulo5Car">
    <w:name w:val="Título 5 Car"/>
    <w:link w:val="Ttulo5"/>
    <w:rsid w:val="00293595"/>
    <w:rPr>
      <w:b/>
      <w:bCs/>
      <w:i/>
      <w:iCs/>
      <w:sz w:val="26"/>
      <w:szCs w:val="26"/>
      <w:lang w:val="es-ES" w:eastAsia="es-ES"/>
    </w:rPr>
  </w:style>
  <w:style w:type="character" w:customStyle="1" w:styleId="Ttulo2Car">
    <w:name w:val="Título 2 Car"/>
    <w:basedOn w:val="Fuentedeprrafopredeter"/>
    <w:link w:val="Ttulo2"/>
    <w:semiHidden/>
    <w:rsid w:val="006E452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semiHidden/>
    <w:rsid w:val="006E4522"/>
    <w:rPr>
      <w:rFonts w:asciiTheme="majorHAnsi" w:eastAsiaTheme="majorEastAsia" w:hAnsiTheme="majorHAnsi" w:cstheme="majorBidi"/>
      <w:color w:val="1F4D78" w:themeColor="accent1" w:themeShade="7F"/>
      <w:sz w:val="24"/>
      <w:szCs w:val="24"/>
      <w:lang w:val="es-ES" w:eastAsia="es-ES"/>
    </w:rPr>
  </w:style>
  <w:style w:type="table" w:customStyle="1" w:styleId="Tablaconcuadrcula1">
    <w:name w:val="Tabla con cuadrícula1"/>
    <w:basedOn w:val="Tablanormal"/>
    <w:next w:val="Tablaconcuadrcula"/>
    <w:uiPriority w:val="39"/>
    <w:rsid w:val="006E4522"/>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rsid w:val="006E4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rsid w:val="000D7162"/>
    <w:pPr>
      <w:spacing w:after="120"/>
      <w:jc w:val="both"/>
    </w:pPr>
    <w:rPr>
      <w:sz w:val="20"/>
      <w:szCs w:val="20"/>
      <w:lang w:val="es-ES_tradnl"/>
    </w:rPr>
  </w:style>
  <w:style w:type="character" w:customStyle="1" w:styleId="TextocomentarioCar">
    <w:name w:val="Texto comentario Car"/>
    <w:basedOn w:val="Fuentedeprrafopredeter"/>
    <w:link w:val="Textocomentario"/>
    <w:rsid w:val="000D7162"/>
    <w:rPr>
      <w:lang w:val="es-ES_tradnl" w:eastAsia="es-ES"/>
    </w:rPr>
  </w:style>
  <w:style w:type="character" w:styleId="Refdecomentario">
    <w:name w:val="annotation reference"/>
    <w:basedOn w:val="Fuentedeprrafopredeter"/>
    <w:unhideWhenUsed/>
    <w:qFormat/>
    <w:rsid w:val="000D7162"/>
    <w:rPr>
      <w:sz w:val="16"/>
      <w:szCs w:val="16"/>
    </w:rPr>
  </w:style>
  <w:style w:type="table" w:customStyle="1" w:styleId="Tablaconcuadrcula2">
    <w:name w:val="Tabla con cuadrícula2"/>
    <w:basedOn w:val="Tablanormal"/>
    <w:next w:val="Tablaconcuadrcula"/>
    <w:uiPriority w:val="39"/>
    <w:rsid w:val="009860F5"/>
    <w:rPr>
      <w:rFonts w:ascii="Century Schoolbook" w:hAnsi="Century Schoolbook"/>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187E00"/>
    <w:pPr>
      <w:spacing w:before="100" w:beforeAutospacing="1" w:after="100" w:afterAutospacing="1"/>
    </w:pPr>
    <w:rPr>
      <w:lang w:val="es-CR" w:eastAsia="es-CR"/>
    </w:rPr>
  </w:style>
  <w:style w:type="paragraph" w:styleId="Sinespaciado">
    <w:name w:val="No Spacing"/>
    <w:uiPriority w:val="1"/>
    <w:qFormat/>
    <w:rsid w:val="002C228F"/>
    <w:rPr>
      <w:rFonts w:ascii="Cambria" w:eastAsia="Cambria" w:hAnsi="Cambria"/>
      <w:sz w:val="24"/>
      <w:szCs w:val="24"/>
      <w:lang w:val="es-ES_tradnl" w:eastAsia="en-US"/>
    </w:rPr>
  </w:style>
  <w:style w:type="table" w:customStyle="1" w:styleId="Tablaconcuadrcula3">
    <w:name w:val="Tabla con cuadrícula3"/>
    <w:basedOn w:val="Tablanormal"/>
    <w:next w:val="Tablaconcuadrcula"/>
    <w:uiPriority w:val="39"/>
    <w:rsid w:val="00437F0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47360D"/>
    <w:pPr>
      <w:spacing w:after="120" w:line="480" w:lineRule="auto"/>
    </w:pPr>
  </w:style>
  <w:style w:type="character" w:customStyle="1" w:styleId="Textoindependiente2Car">
    <w:name w:val="Texto independiente 2 Car"/>
    <w:basedOn w:val="Fuentedeprrafopredeter"/>
    <w:link w:val="Textoindependiente2"/>
    <w:rsid w:val="0047360D"/>
    <w:rPr>
      <w:sz w:val="24"/>
      <w:szCs w:val="24"/>
      <w:lang w:val="es-ES" w:eastAsia="es-ES"/>
    </w:rPr>
  </w:style>
  <w:style w:type="table" w:customStyle="1" w:styleId="Tablaconcuadrcula4">
    <w:name w:val="Tabla con cuadrícula4"/>
    <w:basedOn w:val="Tablanormal"/>
    <w:next w:val="Tablaconcuadrcula"/>
    <w:uiPriority w:val="59"/>
    <w:rsid w:val="006C4FFB"/>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39"/>
    <w:rsid w:val="00763AF2"/>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locked/>
    <w:rsid w:val="00F41044"/>
    <w:rPr>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154839"/>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E38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7362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semiHidden/>
    <w:rsid w:val="00D23962"/>
    <w:rPr>
      <w:rFonts w:asciiTheme="majorHAnsi" w:eastAsiaTheme="majorEastAsia" w:hAnsiTheme="majorHAnsi" w:cstheme="majorBidi"/>
      <w:i/>
      <w:iCs/>
      <w:color w:val="2E74B5" w:themeColor="accent1" w:themeShade="BF"/>
      <w:sz w:val="24"/>
      <w:szCs w:val="24"/>
      <w:lang w:val="es-ES" w:eastAsia="es-ES"/>
    </w:rPr>
  </w:style>
  <w:style w:type="paragraph" w:customStyle="1" w:styleId="Ttulo71">
    <w:name w:val="Título 71"/>
    <w:basedOn w:val="Normal"/>
    <w:next w:val="Normal"/>
    <w:unhideWhenUsed/>
    <w:qFormat/>
    <w:rsid w:val="00D23962"/>
    <w:pPr>
      <w:tabs>
        <w:tab w:val="num" w:pos="5040"/>
      </w:tabs>
      <w:spacing w:line="276" w:lineRule="auto"/>
      <w:ind w:left="5040" w:hanging="360"/>
      <w:outlineLvl w:val="6"/>
    </w:pPr>
    <w:rPr>
      <w:rFonts w:ascii="Calibri" w:hAnsi="Calibri"/>
      <w:b/>
      <w:bCs/>
      <w:i/>
      <w:iCs/>
      <w:color w:val="2E74B5"/>
      <w:sz w:val="20"/>
      <w:szCs w:val="20"/>
      <w:lang w:eastAsia="en-US"/>
    </w:rPr>
  </w:style>
  <w:style w:type="paragraph" w:customStyle="1" w:styleId="Ttulo81">
    <w:name w:val="Título 81"/>
    <w:basedOn w:val="Normal"/>
    <w:next w:val="Normal"/>
    <w:unhideWhenUsed/>
    <w:qFormat/>
    <w:rsid w:val="00D23962"/>
    <w:pPr>
      <w:tabs>
        <w:tab w:val="num" w:pos="5760"/>
      </w:tabs>
      <w:spacing w:line="276" w:lineRule="auto"/>
      <w:ind w:left="5760" w:hanging="360"/>
      <w:outlineLvl w:val="7"/>
    </w:pPr>
    <w:rPr>
      <w:rFonts w:ascii="Calibri" w:hAnsi="Calibri"/>
      <w:b/>
      <w:bCs/>
      <w:color w:val="C45911"/>
      <w:sz w:val="20"/>
      <w:szCs w:val="20"/>
      <w:lang w:eastAsia="en-US"/>
    </w:rPr>
  </w:style>
  <w:style w:type="paragraph" w:customStyle="1" w:styleId="Ttulo91">
    <w:name w:val="Título 91"/>
    <w:basedOn w:val="Normal"/>
    <w:next w:val="Normal"/>
    <w:unhideWhenUsed/>
    <w:qFormat/>
    <w:rsid w:val="00D23962"/>
    <w:pPr>
      <w:tabs>
        <w:tab w:val="num" w:pos="6480"/>
      </w:tabs>
      <w:spacing w:line="276" w:lineRule="auto"/>
      <w:ind w:left="6480" w:hanging="180"/>
      <w:outlineLvl w:val="8"/>
    </w:pPr>
    <w:rPr>
      <w:rFonts w:ascii="Calibri" w:hAnsi="Calibri"/>
      <w:b/>
      <w:bCs/>
      <w:i/>
      <w:iCs/>
      <w:color w:val="C45911"/>
      <w:sz w:val="18"/>
      <w:szCs w:val="18"/>
      <w:lang w:eastAsia="en-US"/>
    </w:rPr>
  </w:style>
  <w:style w:type="table" w:customStyle="1" w:styleId="Tablaconcuadrcula9">
    <w:name w:val="Tabla con cuadrícula9"/>
    <w:basedOn w:val="Tablanormal"/>
    <w:next w:val="Tablaconcuadrcula"/>
    <w:locked/>
    <w:rsid w:val="002F636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645C62"/>
    <w:pPr>
      <w:spacing w:after="120"/>
      <w:ind w:left="283"/>
    </w:pPr>
  </w:style>
  <w:style w:type="character" w:customStyle="1" w:styleId="SangradetextonormalCar">
    <w:name w:val="Sangría de texto normal Car"/>
    <w:basedOn w:val="Fuentedeprrafopredeter"/>
    <w:link w:val="Sangradetextonormal"/>
    <w:rsid w:val="00645C62"/>
    <w:rPr>
      <w:sz w:val="24"/>
      <w:szCs w:val="24"/>
      <w:lang w:val="es-ES" w:eastAsia="es-ES"/>
    </w:rPr>
  </w:style>
  <w:style w:type="paragraph" w:customStyle="1" w:styleId="Default">
    <w:name w:val="Default"/>
    <w:rsid w:val="00D65084"/>
    <w:pPr>
      <w:autoSpaceDE w:val="0"/>
      <w:autoSpaceDN w:val="0"/>
      <w:adjustRightInd w:val="0"/>
    </w:pPr>
    <w:rPr>
      <w:rFonts w:ascii="Arial" w:hAnsi="Arial" w:cs="Arial"/>
      <w:color w:val="000000"/>
      <w:sz w:val="24"/>
      <w:szCs w:val="24"/>
    </w:rPr>
  </w:style>
  <w:style w:type="character" w:styleId="Textoennegrita">
    <w:name w:val="Strong"/>
    <w:basedOn w:val="Fuentedeprrafopredeter"/>
    <w:uiPriority w:val="22"/>
    <w:qFormat/>
    <w:rsid w:val="00D65084"/>
    <w:rPr>
      <w:b/>
      <w:bCs/>
    </w:rPr>
  </w:style>
  <w:style w:type="character" w:styleId="Refdenotaalpie">
    <w:name w:val="footnote reference"/>
    <w:uiPriority w:val="99"/>
    <w:unhideWhenUsed/>
    <w:rsid w:val="00215C41"/>
    <w:rPr>
      <w:vertAlign w:val="superscript"/>
    </w:rPr>
  </w:style>
  <w:style w:type="table" w:customStyle="1" w:styleId="Tablaconcuadrcula10">
    <w:name w:val="Tabla con cuadrícula10"/>
    <w:basedOn w:val="Tablanormal"/>
    <w:next w:val="Tablaconcuadrcula"/>
    <w:uiPriority w:val="39"/>
    <w:rsid w:val="00BE62EA"/>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72">
    <w:name w:val="Título 72"/>
    <w:basedOn w:val="Normal"/>
    <w:next w:val="Normal"/>
    <w:semiHidden/>
    <w:unhideWhenUsed/>
    <w:qFormat/>
    <w:rsid w:val="008D187C"/>
    <w:pPr>
      <w:keepNext/>
      <w:keepLines/>
      <w:spacing w:before="200"/>
      <w:outlineLvl w:val="6"/>
    </w:pPr>
    <w:rPr>
      <w:rFonts w:ascii="Cambria" w:hAnsi="Cambria"/>
      <w:i/>
      <w:iCs/>
      <w:color w:val="404040"/>
      <w:sz w:val="20"/>
      <w:szCs w:val="20"/>
      <w:lang w:val="es-CR"/>
    </w:rPr>
  </w:style>
  <w:style w:type="character" w:customStyle="1" w:styleId="Ttulo8Car">
    <w:name w:val="Título 8 Car"/>
    <w:basedOn w:val="Fuentedeprrafopredeter"/>
    <w:link w:val="Ttulo8"/>
    <w:rsid w:val="008D187C"/>
    <w:rPr>
      <w:i/>
      <w:iCs/>
      <w:sz w:val="24"/>
      <w:szCs w:val="24"/>
      <w:lang w:eastAsia="es-ES"/>
    </w:rPr>
  </w:style>
  <w:style w:type="numbering" w:customStyle="1" w:styleId="Sinlista1">
    <w:name w:val="Sin lista1"/>
    <w:next w:val="Sinlista"/>
    <w:uiPriority w:val="99"/>
    <w:semiHidden/>
    <w:unhideWhenUsed/>
    <w:rsid w:val="008D187C"/>
  </w:style>
  <w:style w:type="character" w:customStyle="1" w:styleId="Ttulo6Car">
    <w:name w:val="Título 6 Car"/>
    <w:basedOn w:val="Fuentedeprrafopredeter"/>
    <w:link w:val="Ttulo6"/>
    <w:rsid w:val="008D187C"/>
    <w:rPr>
      <w:rFonts w:ascii="Arial" w:hAnsi="Arial" w:cs="Arial"/>
      <w:b/>
      <w:sz w:val="24"/>
      <w:lang w:val="es-ES" w:eastAsia="es-ES"/>
    </w:rPr>
  </w:style>
  <w:style w:type="character" w:customStyle="1" w:styleId="Ttulo7Car">
    <w:name w:val="Título 7 Car"/>
    <w:basedOn w:val="Fuentedeprrafopredeter"/>
    <w:link w:val="Ttulo7"/>
    <w:semiHidden/>
    <w:rsid w:val="008D187C"/>
    <w:rPr>
      <w:rFonts w:ascii="Cambria" w:eastAsia="Times New Roman" w:hAnsi="Cambria" w:cs="Times New Roman"/>
      <w:i/>
      <w:iCs/>
      <w:color w:val="404040"/>
      <w:lang w:eastAsia="es-ES"/>
    </w:rPr>
  </w:style>
  <w:style w:type="paragraph" w:styleId="Ttulo">
    <w:name w:val="Title"/>
    <w:basedOn w:val="Normal"/>
    <w:link w:val="TtuloCar"/>
    <w:qFormat/>
    <w:rsid w:val="008D187C"/>
    <w:pPr>
      <w:jc w:val="center"/>
    </w:pPr>
    <w:rPr>
      <w:rFonts w:ascii="Arial" w:hAnsi="Arial"/>
      <w:b/>
      <w:sz w:val="22"/>
      <w:szCs w:val="20"/>
    </w:rPr>
  </w:style>
  <w:style w:type="character" w:customStyle="1" w:styleId="TtuloCar">
    <w:name w:val="Título Car"/>
    <w:basedOn w:val="Fuentedeprrafopredeter"/>
    <w:link w:val="Ttulo"/>
    <w:rsid w:val="008D187C"/>
    <w:rPr>
      <w:rFonts w:ascii="Arial" w:hAnsi="Arial"/>
      <w:b/>
      <w:sz w:val="22"/>
      <w:lang w:val="es-ES" w:eastAsia="es-ES"/>
    </w:rPr>
  </w:style>
  <w:style w:type="paragraph" w:styleId="Textodebloque">
    <w:name w:val="Block Text"/>
    <w:basedOn w:val="Normal"/>
    <w:rsid w:val="008D187C"/>
    <w:pPr>
      <w:ind w:left="1440" w:right="-136" w:hanging="1440"/>
      <w:jc w:val="both"/>
    </w:pPr>
    <w:rPr>
      <w:rFonts w:ascii="Arial" w:hAnsi="Arial" w:cs="Arial"/>
      <w:b/>
      <w:sz w:val="22"/>
      <w:szCs w:val="22"/>
      <w:lang w:val="es-CR"/>
    </w:rPr>
  </w:style>
  <w:style w:type="paragraph" w:styleId="Descripcin">
    <w:name w:val="caption"/>
    <w:basedOn w:val="Normal"/>
    <w:next w:val="Normal"/>
    <w:qFormat/>
    <w:rsid w:val="008D187C"/>
    <w:rPr>
      <w:rFonts w:ascii="Arial" w:hAnsi="Arial" w:cs="Arial"/>
      <w:sz w:val="20"/>
      <w:szCs w:val="20"/>
    </w:rPr>
  </w:style>
  <w:style w:type="paragraph" w:customStyle="1" w:styleId="Nmerodepgina1">
    <w:name w:val="Número de página1"/>
    <w:basedOn w:val="Normal"/>
    <w:next w:val="Normal"/>
    <w:rsid w:val="008D187C"/>
    <w:rPr>
      <w:rFonts w:ascii="CG Times (W1)" w:hAnsi="CG Times (W1)"/>
      <w:sz w:val="20"/>
      <w:szCs w:val="20"/>
      <w:lang w:val="es-CR"/>
    </w:rPr>
  </w:style>
  <w:style w:type="character" w:customStyle="1" w:styleId="EncabezadoCar">
    <w:name w:val="Encabezado Car"/>
    <w:basedOn w:val="Fuentedeprrafopredeter"/>
    <w:link w:val="Encabezado"/>
    <w:uiPriority w:val="99"/>
    <w:rsid w:val="008D187C"/>
    <w:rPr>
      <w:rFonts w:ascii="Arial" w:hAnsi="Arial" w:cs="Arial"/>
      <w:i/>
      <w:sz w:val="16"/>
      <w:lang w:val="es-ES" w:eastAsia="es-ES"/>
    </w:rPr>
  </w:style>
  <w:style w:type="paragraph" w:styleId="Listaconvietas">
    <w:name w:val="List Bullet"/>
    <w:basedOn w:val="Normal"/>
    <w:rsid w:val="008D187C"/>
    <w:pPr>
      <w:numPr>
        <w:numId w:val="2"/>
      </w:numPr>
    </w:pPr>
    <w:rPr>
      <w:lang w:val="es-CR"/>
    </w:rPr>
  </w:style>
  <w:style w:type="paragraph" w:customStyle="1" w:styleId="Body">
    <w:name w:val="Body"/>
    <w:qFormat/>
    <w:rsid w:val="008D187C"/>
    <w:rPr>
      <w:rFonts w:ascii="Helvetica" w:eastAsia="ヒラギノ角ゴ Pro W3" w:hAnsi="Helvetica"/>
      <w:color w:val="000000"/>
      <w:sz w:val="24"/>
      <w:lang w:val="en-US"/>
    </w:rPr>
  </w:style>
  <w:style w:type="character" w:styleId="Nmerodepgina">
    <w:name w:val="page number"/>
    <w:basedOn w:val="Fuentedeprrafopredeter"/>
    <w:rsid w:val="008D187C"/>
  </w:style>
  <w:style w:type="paragraph" w:customStyle="1" w:styleId="Prrafodelista1">
    <w:name w:val="Párrafo de lista1"/>
    <w:basedOn w:val="Normal"/>
    <w:rsid w:val="008D187C"/>
    <w:pPr>
      <w:ind w:left="720"/>
      <w:contextualSpacing/>
    </w:pPr>
    <w:rPr>
      <w:rFonts w:eastAsia="Calibri"/>
      <w:lang w:val="es-CR"/>
    </w:rPr>
  </w:style>
  <w:style w:type="character" w:styleId="Hipervnculo">
    <w:name w:val="Hyperlink"/>
    <w:basedOn w:val="Fuentedeprrafopredeter"/>
    <w:uiPriority w:val="99"/>
    <w:rsid w:val="008D187C"/>
    <w:rPr>
      <w:color w:val="0000FF"/>
      <w:u w:val="single"/>
    </w:rPr>
  </w:style>
  <w:style w:type="character" w:customStyle="1" w:styleId="estilo61">
    <w:name w:val="estilo61"/>
    <w:basedOn w:val="Fuentedeprrafopredeter"/>
    <w:rsid w:val="008D187C"/>
    <w:rPr>
      <w:rFonts w:ascii="Verdana" w:hAnsi="Verdana" w:hint="default"/>
    </w:rPr>
  </w:style>
  <w:style w:type="paragraph" w:styleId="Sangra2detindependiente">
    <w:name w:val="Body Text Indent 2"/>
    <w:basedOn w:val="Normal"/>
    <w:link w:val="Sangra2detindependienteCar"/>
    <w:rsid w:val="008D187C"/>
    <w:pPr>
      <w:spacing w:after="120" w:line="480" w:lineRule="auto"/>
      <w:ind w:left="283"/>
    </w:pPr>
    <w:rPr>
      <w:sz w:val="20"/>
      <w:szCs w:val="20"/>
      <w:lang w:val="es-CR"/>
    </w:rPr>
  </w:style>
  <w:style w:type="character" w:customStyle="1" w:styleId="Sangra2detindependienteCar">
    <w:name w:val="Sangría 2 de t. independiente Car"/>
    <w:basedOn w:val="Fuentedeprrafopredeter"/>
    <w:link w:val="Sangra2detindependiente"/>
    <w:rsid w:val="008D187C"/>
    <w:rPr>
      <w:lang w:eastAsia="es-ES"/>
    </w:rPr>
  </w:style>
  <w:style w:type="paragraph" w:styleId="Sangra3detindependiente">
    <w:name w:val="Body Text Indent 3"/>
    <w:basedOn w:val="Normal"/>
    <w:link w:val="Sangra3detindependienteCar"/>
    <w:rsid w:val="008D187C"/>
    <w:pPr>
      <w:spacing w:after="120"/>
      <w:ind w:left="283"/>
    </w:pPr>
    <w:rPr>
      <w:rFonts w:eastAsia="MS Mincho"/>
      <w:sz w:val="16"/>
      <w:szCs w:val="16"/>
    </w:rPr>
  </w:style>
  <w:style w:type="character" w:customStyle="1" w:styleId="Sangra3detindependienteCar">
    <w:name w:val="Sangría 3 de t. independiente Car"/>
    <w:basedOn w:val="Fuentedeprrafopredeter"/>
    <w:link w:val="Sangra3detindependiente"/>
    <w:rsid w:val="008D187C"/>
    <w:rPr>
      <w:rFonts w:eastAsia="MS Mincho"/>
      <w:sz w:val="16"/>
      <w:szCs w:val="16"/>
      <w:lang w:val="es-ES" w:eastAsia="es-ES"/>
    </w:rPr>
  </w:style>
  <w:style w:type="paragraph" w:styleId="Asuntodelcomentario">
    <w:name w:val="annotation subject"/>
    <w:basedOn w:val="Textocomentario"/>
    <w:next w:val="Textocomentario"/>
    <w:link w:val="AsuntodelcomentarioCar"/>
    <w:unhideWhenUsed/>
    <w:rsid w:val="008D187C"/>
    <w:pPr>
      <w:spacing w:after="0"/>
      <w:jc w:val="left"/>
    </w:pPr>
    <w:rPr>
      <w:b/>
      <w:bCs/>
      <w:lang w:val="es-CR"/>
    </w:rPr>
  </w:style>
  <w:style w:type="character" w:customStyle="1" w:styleId="AsuntodelcomentarioCar">
    <w:name w:val="Asunto del comentario Car"/>
    <w:basedOn w:val="TextocomentarioCar"/>
    <w:link w:val="Asuntodelcomentario"/>
    <w:rsid w:val="008D187C"/>
    <w:rPr>
      <w:b/>
      <w:bCs/>
      <w:lang w:val="es-ES_tradnl" w:eastAsia="es-ES"/>
    </w:rPr>
  </w:style>
  <w:style w:type="table" w:customStyle="1" w:styleId="TableGrid">
    <w:name w:val="TableGrid"/>
    <w:rsid w:val="008D187C"/>
    <w:rPr>
      <w:rFonts w:ascii="Calibri" w:hAnsi="Calibri"/>
      <w:sz w:val="22"/>
      <w:szCs w:val="22"/>
    </w:rPr>
    <w:tblPr>
      <w:tblCellMar>
        <w:top w:w="0" w:type="dxa"/>
        <w:left w:w="0" w:type="dxa"/>
        <w:bottom w:w="0" w:type="dxa"/>
        <w:right w:w="0" w:type="dxa"/>
      </w:tblCellMar>
    </w:tblPr>
  </w:style>
  <w:style w:type="character" w:styleId="Hipervnculovisitado">
    <w:name w:val="FollowedHyperlink"/>
    <w:basedOn w:val="Fuentedeprrafopredeter"/>
    <w:uiPriority w:val="99"/>
    <w:unhideWhenUsed/>
    <w:rsid w:val="008D187C"/>
    <w:rPr>
      <w:color w:val="800080"/>
      <w:u w:val="single"/>
    </w:rPr>
  </w:style>
  <w:style w:type="paragraph" w:customStyle="1" w:styleId="msonormal0">
    <w:name w:val="msonormal"/>
    <w:basedOn w:val="Normal"/>
    <w:rsid w:val="008D187C"/>
    <w:pPr>
      <w:spacing w:before="100" w:beforeAutospacing="1" w:after="100" w:afterAutospacing="1"/>
    </w:pPr>
    <w:rPr>
      <w:lang w:val="es-CR" w:eastAsia="es-CR"/>
    </w:rPr>
  </w:style>
  <w:style w:type="paragraph" w:customStyle="1" w:styleId="xl63">
    <w:name w:val="xl6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64">
    <w:name w:val="xl64"/>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65">
    <w:name w:val="xl65"/>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66">
    <w:name w:val="xl6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67">
    <w:name w:val="xl6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68">
    <w:name w:val="xl68"/>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69">
    <w:name w:val="xl69"/>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0">
    <w:name w:val="xl7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1">
    <w:name w:val="xl7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2">
    <w:name w:val="xl72"/>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3">
    <w:name w:val="xl73"/>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74">
    <w:name w:val="xl74"/>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5">
    <w:name w:val="xl75"/>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8"/>
      <w:szCs w:val="18"/>
      <w:lang w:val="es-CR" w:eastAsia="es-CR"/>
    </w:rPr>
  </w:style>
  <w:style w:type="paragraph" w:customStyle="1" w:styleId="xl76">
    <w:name w:val="xl76"/>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7">
    <w:name w:val="xl77"/>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78">
    <w:name w:val="xl78"/>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79">
    <w:name w:val="xl79"/>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0">
    <w:name w:val="xl8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1">
    <w:name w:val="xl8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2">
    <w:name w:val="xl82"/>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3">
    <w:name w:val="xl8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4">
    <w:name w:val="xl84"/>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5">
    <w:name w:val="xl85"/>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86">
    <w:name w:val="xl8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7">
    <w:name w:val="xl8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88">
    <w:name w:val="xl88"/>
    <w:basedOn w:val="Normal"/>
    <w:rsid w:val="008D187C"/>
    <w:pPr>
      <w:spacing w:before="100" w:beforeAutospacing="1" w:after="100" w:afterAutospacing="1"/>
    </w:pPr>
    <w:rPr>
      <w:rFonts w:ascii="Arial" w:hAnsi="Arial" w:cs="Arial"/>
      <w:sz w:val="18"/>
      <w:szCs w:val="18"/>
      <w:lang w:val="es-CR" w:eastAsia="es-CR"/>
    </w:rPr>
  </w:style>
  <w:style w:type="paragraph" w:customStyle="1" w:styleId="xl89">
    <w:name w:val="xl89"/>
    <w:basedOn w:val="Normal"/>
    <w:rsid w:val="008D187C"/>
    <w:pPr>
      <w:pBdr>
        <w:top w:val="single" w:sz="4" w:space="0" w:color="auto"/>
        <w:left w:val="single" w:sz="4" w:space="0" w:color="auto"/>
      </w:pBdr>
      <w:spacing w:before="100" w:beforeAutospacing="1" w:after="100" w:afterAutospacing="1"/>
      <w:jc w:val="center"/>
      <w:textAlignment w:val="center"/>
    </w:pPr>
    <w:rPr>
      <w:rFonts w:ascii="Arial" w:hAnsi="Arial" w:cs="Arial"/>
      <w:b/>
      <w:bCs/>
      <w:sz w:val="18"/>
      <w:szCs w:val="18"/>
      <w:lang w:val="es-CR" w:eastAsia="es-CR"/>
    </w:rPr>
  </w:style>
  <w:style w:type="paragraph" w:customStyle="1" w:styleId="xl90">
    <w:name w:val="xl90"/>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lang w:val="es-CR" w:eastAsia="es-CR"/>
    </w:rPr>
  </w:style>
  <w:style w:type="paragraph" w:customStyle="1" w:styleId="xl91">
    <w:name w:val="xl91"/>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sz w:val="18"/>
      <w:szCs w:val="18"/>
      <w:lang w:val="es-CR" w:eastAsia="es-CR"/>
    </w:rPr>
  </w:style>
  <w:style w:type="paragraph" w:customStyle="1" w:styleId="xl92">
    <w:name w:val="xl92"/>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93">
    <w:name w:val="xl9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94">
    <w:name w:val="xl94"/>
    <w:basedOn w:val="Normal"/>
    <w:rsid w:val="008D187C"/>
    <w:pPr>
      <w:spacing w:before="100" w:beforeAutospacing="1" w:after="100" w:afterAutospacing="1"/>
      <w:textAlignment w:val="center"/>
    </w:pPr>
    <w:rPr>
      <w:rFonts w:ascii="Arial" w:hAnsi="Arial" w:cs="Arial"/>
      <w:sz w:val="18"/>
      <w:szCs w:val="18"/>
      <w:lang w:val="es-CR" w:eastAsia="es-CR"/>
    </w:rPr>
  </w:style>
  <w:style w:type="paragraph" w:customStyle="1" w:styleId="xl95">
    <w:name w:val="xl95"/>
    <w:basedOn w:val="Normal"/>
    <w:rsid w:val="008D187C"/>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lang w:val="es-CR" w:eastAsia="es-CR"/>
    </w:rPr>
  </w:style>
  <w:style w:type="paragraph" w:customStyle="1" w:styleId="xl96">
    <w:name w:val="xl96"/>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97">
    <w:name w:val="xl97"/>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98">
    <w:name w:val="xl98"/>
    <w:basedOn w:val="Normal"/>
    <w:rsid w:val="008D187C"/>
    <w:pPr>
      <w:spacing w:before="100" w:beforeAutospacing="1" w:after="100" w:afterAutospacing="1"/>
      <w:jc w:val="center"/>
      <w:textAlignment w:val="center"/>
    </w:pPr>
    <w:rPr>
      <w:rFonts w:ascii="Arial" w:hAnsi="Arial" w:cs="Arial"/>
      <w:b/>
      <w:bCs/>
      <w:sz w:val="18"/>
      <w:szCs w:val="18"/>
      <w:lang w:val="es-CR" w:eastAsia="es-CR"/>
    </w:rPr>
  </w:style>
  <w:style w:type="paragraph" w:customStyle="1" w:styleId="xl99">
    <w:name w:val="xl99"/>
    <w:basedOn w:val="Normal"/>
    <w:rsid w:val="008D187C"/>
    <w:pPr>
      <w:spacing w:before="100" w:beforeAutospacing="1" w:after="100" w:afterAutospacing="1"/>
      <w:jc w:val="center"/>
      <w:textAlignment w:val="center"/>
    </w:pPr>
    <w:rPr>
      <w:rFonts w:ascii="Arial" w:hAnsi="Arial" w:cs="Arial"/>
      <w:sz w:val="18"/>
      <w:szCs w:val="18"/>
      <w:lang w:val="es-CR" w:eastAsia="es-CR"/>
    </w:rPr>
  </w:style>
  <w:style w:type="paragraph" w:customStyle="1" w:styleId="xl100">
    <w:name w:val="xl100"/>
    <w:basedOn w:val="Normal"/>
    <w:rsid w:val="008D187C"/>
    <w:pPr>
      <w:spacing w:before="100" w:beforeAutospacing="1" w:after="100" w:afterAutospacing="1"/>
      <w:jc w:val="center"/>
    </w:pPr>
    <w:rPr>
      <w:rFonts w:ascii="Arial" w:hAnsi="Arial" w:cs="Arial"/>
      <w:sz w:val="18"/>
      <w:szCs w:val="18"/>
      <w:lang w:val="es-CR" w:eastAsia="es-CR"/>
    </w:rPr>
  </w:style>
  <w:style w:type="paragraph" w:customStyle="1" w:styleId="xl101">
    <w:name w:val="xl101"/>
    <w:basedOn w:val="Normal"/>
    <w:rsid w:val="008D187C"/>
    <w:pPr>
      <w:spacing w:before="100" w:beforeAutospacing="1" w:after="100" w:afterAutospacing="1"/>
      <w:jc w:val="center"/>
      <w:textAlignment w:val="center"/>
    </w:pPr>
    <w:rPr>
      <w:rFonts w:ascii="Arial" w:hAnsi="Arial" w:cs="Arial"/>
      <w:sz w:val="18"/>
      <w:szCs w:val="18"/>
      <w:lang w:val="es-CR" w:eastAsia="es-CR"/>
    </w:rPr>
  </w:style>
  <w:style w:type="paragraph" w:customStyle="1" w:styleId="xl102">
    <w:name w:val="xl102"/>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8"/>
      <w:szCs w:val="18"/>
      <w:lang w:val="es-CR" w:eastAsia="es-CR"/>
    </w:rPr>
  </w:style>
  <w:style w:type="paragraph" w:customStyle="1" w:styleId="xl103">
    <w:name w:val="xl103"/>
    <w:basedOn w:val="Normal"/>
    <w:rsid w:val="008D187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CR" w:eastAsia="es-CR"/>
    </w:rPr>
  </w:style>
  <w:style w:type="paragraph" w:customStyle="1" w:styleId="xl104">
    <w:name w:val="xl104"/>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lang w:val="es-CR" w:eastAsia="es-CR"/>
    </w:rPr>
  </w:style>
  <w:style w:type="paragraph" w:customStyle="1" w:styleId="xl105">
    <w:name w:val="xl105"/>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Arial" w:hAnsi="Arial" w:cs="Arial"/>
      <w:sz w:val="18"/>
      <w:szCs w:val="18"/>
      <w:lang w:val="es-CR" w:eastAsia="es-CR"/>
    </w:rPr>
  </w:style>
  <w:style w:type="paragraph" w:customStyle="1" w:styleId="xl106">
    <w:name w:val="xl106"/>
    <w:basedOn w:val="Normal"/>
    <w:rsid w:val="008D18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Arial" w:hAnsi="Arial" w:cs="Arial"/>
      <w:sz w:val="18"/>
      <w:szCs w:val="18"/>
      <w:lang w:val="es-CR" w:eastAsia="es-CR"/>
    </w:rPr>
  </w:style>
  <w:style w:type="paragraph" w:customStyle="1" w:styleId="xl107">
    <w:name w:val="xl107"/>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Arial" w:hAnsi="Arial" w:cs="Arial"/>
      <w:sz w:val="18"/>
      <w:szCs w:val="18"/>
      <w:lang w:val="es-CR" w:eastAsia="es-CR"/>
    </w:rPr>
  </w:style>
  <w:style w:type="paragraph" w:customStyle="1" w:styleId="xl108">
    <w:name w:val="xl108"/>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jc w:val="center"/>
      <w:textAlignment w:val="center"/>
    </w:pPr>
    <w:rPr>
      <w:rFonts w:ascii="Arial" w:hAnsi="Arial" w:cs="Arial"/>
      <w:sz w:val="18"/>
      <w:szCs w:val="18"/>
      <w:lang w:val="es-CR" w:eastAsia="es-CR"/>
    </w:rPr>
  </w:style>
  <w:style w:type="paragraph" w:customStyle="1" w:styleId="xl109">
    <w:name w:val="xl109"/>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textAlignment w:val="center"/>
    </w:pPr>
    <w:rPr>
      <w:rFonts w:ascii="Arial" w:hAnsi="Arial" w:cs="Arial"/>
      <w:sz w:val="18"/>
      <w:szCs w:val="18"/>
      <w:lang w:val="es-CR" w:eastAsia="es-CR"/>
    </w:rPr>
  </w:style>
  <w:style w:type="paragraph" w:customStyle="1" w:styleId="xl110">
    <w:name w:val="xl110"/>
    <w:basedOn w:val="Normal"/>
    <w:rsid w:val="008D187C"/>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textAlignment w:val="center"/>
    </w:pPr>
    <w:rPr>
      <w:rFonts w:ascii="Arial" w:hAnsi="Arial" w:cs="Arial"/>
      <w:color w:val="000000"/>
      <w:sz w:val="18"/>
      <w:szCs w:val="18"/>
      <w:lang w:val="es-CR" w:eastAsia="es-CR"/>
    </w:rPr>
  </w:style>
  <w:style w:type="paragraph" w:customStyle="1" w:styleId="xl111">
    <w:name w:val="xl111"/>
    <w:basedOn w:val="Normal"/>
    <w:rsid w:val="008D187C"/>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2">
    <w:name w:val="xl112"/>
    <w:basedOn w:val="Normal"/>
    <w:rsid w:val="008D187C"/>
    <w:pPr>
      <w:pBdr>
        <w:left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3">
    <w:name w:val="xl113"/>
    <w:basedOn w:val="Normal"/>
    <w:rsid w:val="008D187C"/>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val="es-CR" w:eastAsia="es-CR"/>
    </w:rPr>
  </w:style>
  <w:style w:type="paragraph" w:customStyle="1" w:styleId="xl114">
    <w:name w:val="xl114"/>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5">
    <w:name w:val="xl115"/>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6">
    <w:name w:val="xl116"/>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xl117">
    <w:name w:val="xl117"/>
    <w:basedOn w:val="Normal"/>
    <w:rsid w:val="008D187C"/>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Arial" w:hAnsi="Arial" w:cs="Arial"/>
      <w:b/>
      <w:bCs/>
      <w:color w:val="FFFFFF"/>
      <w:sz w:val="18"/>
      <w:szCs w:val="18"/>
      <w:lang w:val="es-CR" w:eastAsia="es-CR"/>
    </w:rPr>
  </w:style>
  <w:style w:type="paragraph" w:customStyle="1" w:styleId="font5">
    <w:name w:val="font5"/>
    <w:basedOn w:val="Normal"/>
    <w:rsid w:val="008D187C"/>
    <w:pPr>
      <w:spacing w:before="100" w:beforeAutospacing="1" w:after="100" w:afterAutospacing="1"/>
    </w:pPr>
    <w:rPr>
      <w:rFonts w:ascii="Arial" w:hAnsi="Arial" w:cs="Arial"/>
      <w:sz w:val="18"/>
      <w:szCs w:val="18"/>
      <w:lang w:val="es-CR" w:eastAsia="es-CR"/>
    </w:rPr>
  </w:style>
  <w:style w:type="paragraph" w:customStyle="1" w:styleId="font6">
    <w:name w:val="font6"/>
    <w:basedOn w:val="Normal"/>
    <w:rsid w:val="008D187C"/>
    <w:pPr>
      <w:spacing w:before="100" w:beforeAutospacing="1" w:after="100" w:afterAutospacing="1"/>
    </w:pPr>
    <w:rPr>
      <w:rFonts w:ascii="Arial" w:hAnsi="Arial" w:cs="Arial"/>
      <w:b/>
      <w:bCs/>
      <w:sz w:val="18"/>
      <w:szCs w:val="18"/>
      <w:lang w:val="es-CR" w:eastAsia="es-CR"/>
    </w:rPr>
  </w:style>
  <w:style w:type="character" w:customStyle="1" w:styleId="Ttulo7Car1">
    <w:name w:val="Título 7 Car1"/>
    <w:basedOn w:val="Fuentedeprrafopredeter"/>
    <w:semiHidden/>
    <w:rsid w:val="008D187C"/>
    <w:rPr>
      <w:rFonts w:asciiTheme="majorHAnsi" w:eastAsiaTheme="majorEastAsia" w:hAnsiTheme="majorHAnsi" w:cstheme="majorBidi"/>
      <w:i/>
      <w:iCs/>
      <w:color w:val="1F4D78" w:themeColor="accent1" w:themeShade="7F"/>
      <w:sz w:val="24"/>
      <w:szCs w:val="24"/>
      <w:lang w:val="es-ES" w:eastAsia="es-ES"/>
    </w:rPr>
  </w:style>
  <w:style w:type="table" w:customStyle="1" w:styleId="Tablaconcuadrcula101">
    <w:name w:val="Tabla con cuadrícula101"/>
    <w:basedOn w:val="Tablanormal"/>
    <w:next w:val="Tablaconcuadrcula"/>
    <w:uiPriority w:val="39"/>
    <w:rsid w:val="00C90F7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2E7062"/>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337E83"/>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9E28A0"/>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7510B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5641">
      <w:bodyDiv w:val="1"/>
      <w:marLeft w:val="0"/>
      <w:marRight w:val="0"/>
      <w:marTop w:val="0"/>
      <w:marBottom w:val="0"/>
      <w:divBdr>
        <w:top w:val="none" w:sz="0" w:space="0" w:color="auto"/>
        <w:left w:val="none" w:sz="0" w:space="0" w:color="auto"/>
        <w:bottom w:val="none" w:sz="0" w:space="0" w:color="auto"/>
        <w:right w:val="none" w:sz="0" w:space="0" w:color="auto"/>
      </w:divBdr>
    </w:div>
    <w:div w:id="53625658">
      <w:bodyDiv w:val="1"/>
      <w:marLeft w:val="0"/>
      <w:marRight w:val="0"/>
      <w:marTop w:val="0"/>
      <w:marBottom w:val="0"/>
      <w:divBdr>
        <w:top w:val="none" w:sz="0" w:space="0" w:color="auto"/>
        <w:left w:val="none" w:sz="0" w:space="0" w:color="auto"/>
        <w:bottom w:val="none" w:sz="0" w:space="0" w:color="auto"/>
        <w:right w:val="none" w:sz="0" w:space="0" w:color="auto"/>
      </w:divBdr>
    </w:div>
    <w:div w:id="91825218">
      <w:bodyDiv w:val="1"/>
      <w:marLeft w:val="0"/>
      <w:marRight w:val="0"/>
      <w:marTop w:val="0"/>
      <w:marBottom w:val="0"/>
      <w:divBdr>
        <w:top w:val="none" w:sz="0" w:space="0" w:color="auto"/>
        <w:left w:val="none" w:sz="0" w:space="0" w:color="auto"/>
        <w:bottom w:val="none" w:sz="0" w:space="0" w:color="auto"/>
        <w:right w:val="none" w:sz="0" w:space="0" w:color="auto"/>
      </w:divBdr>
    </w:div>
    <w:div w:id="93286150">
      <w:bodyDiv w:val="1"/>
      <w:marLeft w:val="0"/>
      <w:marRight w:val="0"/>
      <w:marTop w:val="0"/>
      <w:marBottom w:val="0"/>
      <w:divBdr>
        <w:top w:val="none" w:sz="0" w:space="0" w:color="auto"/>
        <w:left w:val="none" w:sz="0" w:space="0" w:color="auto"/>
        <w:bottom w:val="none" w:sz="0" w:space="0" w:color="auto"/>
        <w:right w:val="none" w:sz="0" w:space="0" w:color="auto"/>
      </w:divBdr>
    </w:div>
    <w:div w:id="106004403">
      <w:bodyDiv w:val="1"/>
      <w:marLeft w:val="0"/>
      <w:marRight w:val="0"/>
      <w:marTop w:val="0"/>
      <w:marBottom w:val="0"/>
      <w:divBdr>
        <w:top w:val="none" w:sz="0" w:space="0" w:color="auto"/>
        <w:left w:val="none" w:sz="0" w:space="0" w:color="auto"/>
        <w:bottom w:val="none" w:sz="0" w:space="0" w:color="auto"/>
        <w:right w:val="none" w:sz="0" w:space="0" w:color="auto"/>
      </w:divBdr>
    </w:div>
    <w:div w:id="141509160">
      <w:bodyDiv w:val="1"/>
      <w:marLeft w:val="0"/>
      <w:marRight w:val="0"/>
      <w:marTop w:val="0"/>
      <w:marBottom w:val="0"/>
      <w:divBdr>
        <w:top w:val="none" w:sz="0" w:space="0" w:color="auto"/>
        <w:left w:val="none" w:sz="0" w:space="0" w:color="auto"/>
        <w:bottom w:val="none" w:sz="0" w:space="0" w:color="auto"/>
        <w:right w:val="none" w:sz="0" w:space="0" w:color="auto"/>
      </w:divBdr>
    </w:div>
    <w:div w:id="177430089">
      <w:bodyDiv w:val="1"/>
      <w:marLeft w:val="0"/>
      <w:marRight w:val="0"/>
      <w:marTop w:val="0"/>
      <w:marBottom w:val="0"/>
      <w:divBdr>
        <w:top w:val="none" w:sz="0" w:space="0" w:color="auto"/>
        <w:left w:val="none" w:sz="0" w:space="0" w:color="auto"/>
        <w:bottom w:val="none" w:sz="0" w:space="0" w:color="auto"/>
        <w:right w:val="none" w:sz="0" w:space="0" w:color="auto"/>
      </w:divBdr>
    </w:div>
    <w:div w:id="276260992">
      <w:bodyDiv w:val="1"/>
      <w:marLeft w:val="0"/>
      <w:marRight w:val="0"/>
      <w:marTop w:val="0"/>
      <w:marBottom w:val="0"/>
      <w:divBdr>
        <w:top w:val="none" w:sz="0" w:space="0" w:color="auto"/>
        <w:left w:val="none" w:sz="0" w:space="0" w:color="auto"/>
        <w:bottom w:val="none" w:sz="0" w:space="0" w:color="auto"/>
        <w:right w:val="none" w:sz="0" w:space="0" w:color="auto"/>
      </w:divBdr>
    </w:div>
    <w:div w:id="506867346">
      <w:bodyDiv w:val="1"/>
      <w:marLeft w:val="0"/>
      <w:marRight w:val="0"/>
      <w:marTop w:val="0"/>
      <w:marBottom w:val="0"/>
      <w:divBdr>
        <w:top w:val="none" w:sz="0" w:space="0" w:color="auto"/>
        <w:left w:val="none" w:sz="0" w:space="0" w:color="auto"/>
        <w:bottom w:val="none" w:sz="0" w:space="0" w:color="auto"/>
        <w:right w:val="none" w:sz="0" w:space="0" w:color="auto"/>
      </w:divBdr>
    </w:div>
    <w:div w:id="511073176">
      <w:bodyDiv w:val="1"/>
      <w:marLeft w:val="0"/>
      <w:marRight w:val="0"/>
      <w:marTop w:val="0"/>
      <w:marBottom w:val="0"/>
      <w:divBdr>
        <w:top w:val="none" w:sz="0" w:space="0" w:color="auto"/>
        <w:left w:val="none" w:sz="0" w:space="0" w:color="auto"/>
        <w:bottom w:val="none" w:sz="0" w:space="0" w:color="auto"/>
        <w:right w:val="none" w:sz="0" w:space="0" w:color="auto"/>
      </w:divBdr>
    </w:div>
    <w:div w:id="620187081">
      <w:bodyDiv w:val="1"/>
      <w:marLeft w:val="0"/>
      <w:marRight w:val="0"/>
      <w:marTop w:val="0"/>
      <w:marBottom w:val="0"/>
      <w:divBdr>
        <w:top w:val="none" w:sz="0" w:space="0" w:color="auto"/>
        <w:left w:val="none" w:sz="0" w:space="0" w:color="auto"/>
        <w:bottom w:val="none" w:sz="0" w:space="0" w:color="auto"/>
        <w:right w:val="none" w:sz="0" w:space="0" w:color="auto"/>
      </w:divBdr>
    </w:div>
    <w:div w:id="669481964">
      <w:bodyDiv w:val="1"/>
      <w:marLeft w:val="0"/>
      <w:marRight w:val="0"/>
      <w:marTop w:val="0"/>
      <w:marBottom w:val="0"/>
      <w:divBdr>
        <w:top w:val="none" w:sz="0" w:space="0" w:color="auto"/>
        <w:left w:val="none" w:sz="0" w:space="0" w:color="auto"/>
        <w:bottom w:val="none" w:sz="0" w:space="0" w:color="auto"/>
        <w:right w:val="none" w:sz="0" w:space="0" w:color="auto"/>
      </w:divBdr>
    </w:div>
    <w:div w:id="740980789">
      <w:bodyDiv w:val="1"/>
      <w:marLeft w:val="0"/>
      <w:marRight w:val="0"/>
      <w:marTop w:val="0"/>
      <w:marBottom w:val="0"/>
      <w:divBdr>
        <w:top w:val="none" w:sz="0" w:space="0" w:color="auto"/>
        <w:left w:val="none" w:sz="0" w:space="0" w:color="auto"/>
        <w:bottom w:val="none" w:sz="0" w:space="0" w:color="auto"/>
        <w:right w:val="none" w:sz="0" w:space="0" w:color="auto"/>
      </w:divBdr>
    </w:div>
    <w:div w:id="758984064">
      <w:bodyDiv w:val="1"/>
      <w:marLeft w:val="0"/>
      <w:marRight w:val="0"/>
      <w:marTop w:val="0"/>
      <w:marBottom w:val="0"/>
      <w:divBdr>
        <w:top w:val="none" w:sz="0" w:space="0" w:color="auto"/>
        <w:left w:val="none" w:sz="0" w:space="0" w:color="auto"/>
        <w:bottom w:val="none" w:sz="0" w:space="0" w:color="auto"/>
        <w:right w:val="none" w:sz="0" w:space="0" w:color="auto"/>
      </w:divBdr>
    </w:div>
    <w:div w:id="772820398">
      <w:bodyDiv w:val="1"/>
      <w:marLeft w:val="0"/>
      <w:marRight w:val="0"/>
      <w:marTop w:val="0"/>
      <w:marBottom w:val="0"/>
      <w:divBdr>
        <w:top w:val="none" w:sz="0" w:space="0" w:color="auto"/>
        <w:left w:val="none" w:sz="0" w:space="0" w:color="auto"/>
        <w:bottom w:val="none" w:sz="0" w:space="0" w:color="auto"/>
        <w:right w:val="none" w:sz="0" w:space="0" w:color="auto"/>
      </w:divBdr>
    </w:div>
    <w:div w:id="825824890">
      <w:bodyDiv w:val="1"/>
      <w:marLeft w:val="0"/>
      <w:marRight w:val="0"/>
      <w:marTop w:val="0"/>
      <w:marBottom w:val="0"/>
      <w:divBdr>
        <w:top w:val="none" w:sz="0" w:space="0" w:color="auto"/>
        <w:left w:val="none" w:sz="0" w:space="0" w:color="auto"/>
        <w:bottom w:val="none" w:sz="0" w:space="0" w:color="auto"/>
        <w:right w:val="none" w:sz="0" w:space="0" w:color="auto"/>
      </w:divBdr>
    </w:div>
    <w:div w:id="864368850">
      <w:bodyDiv w:val="1"/>
      <w:marLeft w:val="0"/>
      <w:marRight w:val="0"/>
      <w:marTop w:val="0"/>
      <w:marBottom w:val="0"/>
      <w:divBdr>
        <w:top w:val="none" w:sz="0" w:space="0" w:color="auto"/>
        <w:left w:val="none" w:sz="0" w:space="0" w:color="auto"/>
        <w:bottom w:val="none" w:sz="0" w:space="0" w:color="auto"/>
        <w:right w:val="none" w:sz="0" w:space="0" w:color="auto"/>
      </w:divBdr>
    </w:div>
    <w:div w:id="865337978">
      <w:bodyDiv w:val="1"/>
      <w:marLeft w:val="0"/>
      <w:marRight w:val="0"/>
      <w:marTop w:val="0"/>
      <w:marBottom w:val="0"/>
      <w:divBdr>
        <w:top w:val="none" w:sz="0" w:space="0" w:color="auto"/>
        <w:left w:val="none" w:sz="0" w:space="0" w:color="auto"/>
        <w:bottom w:val="none" w:sz="0" w:space="0" w:color="auto"/>
        <w:right w:val="none" w:sz="0" w:space="0" w:color="auto"/>
      </w:divBdr>
    </w:div>
    <w:div w:id="899822475">
      <w:bodyDiv w:val="1"/>
      <w:marLeft w:val="0"/>
      <w:marRight w:val="0"/>
      <w:marTop w:val="0"/>
      <w:marBottom w:val="0"/>
      <w:divBdr>
        <w:top w:val="none" w:sz="0" w:space="0" w:color="auto"/>
        <w:left w:val="none" w:sz="0" w:space="0" w:color="auto"/>
        <w:bottom w:val="none" w:sz="0" w:space="0" w:color="auto"/>
        <w:right w:val="none" w:sz="0" w:space="0" w:color="auto"/>
      </w:divBdr>
    </w:div>
    <w:div w:id="1176725018">
      <w:bodyDiv w:val="1"/>
      <w:marLeft w:val="0"/>
      <w:marRight w:val="0"/>
      <w:marTop w:val="0"/>
      <w:marBottom w:val="0"/>
      <w:divBdr>
        <w:top w:val="none" w:sz="0" w:space="0" w:color="auto"/>
        <w:left w:val="none" w:sz="0" w:space="0" w:color="auto"/>
        <w:bottom w:val="none" w:sz="0" w:space="0" w:color="auto"/>
        <w:right w:val="none" w:sz="0" w:space="0" w:color="auto"/>
      </w:divBdr>
    </w:div>
    <w:div w:id="1367364742">
      <w:bodyDiv w:val="1"/>
      <w:marLeft w:val="0"/>
      <w:marRight w:val="0"/>
      <w:marTop w:val="0"/>
      <w:marBottom w:val="0"/>
      <w:divBdr>
        <w:top w:val="none" w:sz="0" w:space="0" w:color="auto"/>
        <w:left w:val="none" w:sz="0" w:space="0" w:color="auto"/>
        <w:bottom w:val="none" w:sz="0" w:space="0" w:color="auto"/>
        <w:right w:val="none" w:sz="0" w:space="0" w:color="auto"/>
      </w:divBdr>
    </w:div>
    <w:div w:id="1402872885">
      <w:bodyDiv w:val="1"/>
      <w:marLeft w:val="0"/>
      <w:marRight w:val="0"/>
      <w:marTop w:val="0"/>
      <w:marBottom w:val="0"/>
      <w:divBdr>
        <w:top w:val="none" w:sz="0" w:space="0" w:color="auto"/>
        <w:left w:val="none" w:sz="0" w:space="0" w:color="auto"/>
        <w:bottom w:val="none" w:sz="0" w:space="0" w:color="auto"/>
        <w:right w:val="none" w:sz="0" w:space="0" w:color="auto"/>
      </w:divBdr>
    </w:div>
    <w:div w:id="1662469302">
      <w:bodyDiv w:val="1"/>
      <w:marLeft w:val="0"/>
      <w:marRight w:val="0"/>
      <w:marTop w:val="0"/>
      <w:marBottom w:val="0"/>
      <w:divBdr>
        <w:top w:val="none" w:sz="0" w:space="0" w:color="auto"/>
        <w:left w:val="none" w:sz="0" w:space="0" w:color="auto"/>
        <w:bottom w:val="none" w:sz="0" w:space="0" w:color="auto"/>
        <w:right w:val="none" w:sz="0" w:space="0" w:color="auto"/>
      </w:divBdr>
    </w:div>
    <w:div w:id="1697390857">
      <w:bodyDiv w:val="1"/>
      <w:marLeft w:val="0"/>
      <w:marRight w:val="0"/>
      <w:marTop w:val="0"/>
      <w:marBottom w:val="0"/>
      <w:divBdr>
        <w:top w:val="none" w:sz="0" w:space="0" w:color="auto"/>
        <w:left w:val="none" w:sz="0" w:space="0" w:color="auto"/>
        <w:bottom w:val="none" w:sz="0" w:space="0" w:color="auto"/>
        <w:right w:val="none" w:sz="0" w:space="0" w:color="auto"/>
      </w:divBdr>
    </w:div>
    <w:div w:id="1714959441">
      <w:bodyDiv w:val="1"/>
      <w:marLeft w:val="0"/>
      <w:marRight w:val="0"/>
      <w:marTop w:val="0"/>
      <w:marBottom w:val="0"/>
      <w:divBdr>
        <w:top w:val="none" w:sz="0" w:space="0" w:color="auto"/>
        <w:left w:val="none" w:sz="0" w:space="0" w:color="auto"/>
        <w:bottom w:val="none" w:sz="0" w:space="0" w:color="auto"/>
        <w:right w:val="none" w:sz="0" w:space="0" w:color="auto"/>
      </w:divBdr>
    </w:div>
    <w:div w:id="1805123772">
      <w:bodyDiv w:val="1"/>
      <w:marLeft w:val="0"/>
      <w:marRight w:val="0"/>
      <w:marTop w:val="0"/>
      <w:marBottom w:val="0"/>
      <w:divBdr>
        <w:top w:val="none" w:sz="0" w:space="0" w:color="auto"/>
        <w:left w:val="none" w:sz="0" w:space="0" w:color="auto"/>
        <w:bottom w:val="none" w:sz="0" w:space="0" w:color="auto"/>
        <w:right w:val="none" w:sz="0" w:space="0" w:color="auto"/>
      </w:divBdr>
    </w:div>
    <w:div w:id="1852331211">
      <w:bodyDiv w:val="1"/>
      <w:marLeft w:val="0"/>
      <w:marRight w:val="0"/>
      <w:marTop w:val="0"/>
      <w:marBottom w:val="0"/>
      <w:divBdr>
        <w:top w:val="none" w:sz="0" w:space="0" w:color="auto"/>
        <w:left w:val="none" w:sz="0" w:space="0" w:color="auto"/>
        <w:bottom w:val="none" w:sz="0" w:space="0" w:color="auto"/>
        <w:right w:val="none" w:sz="0" w:space="0" w:color="auto"/>
      </w:divBdr>
    </w:div>
    <w:div w:id="1991130145">
      <w:bodyDiv w:val="1"/>
      <w:marLeft w:val="0"/>
      <w:marRight w:val="0"/>
      <w:marTop w:val="0"/>
      <w:marBottom w:val="0"/>
      <w:divBdr>
        <w:top w:val="none" w:sz="0" w:space="0" w:color="auto"/>
        <w:left w:val="none" w:sz="0" w:space="0" w:color="auto"/>
        <w:bottom w:val="none" w:sz="0" w:space="0" w:color="auto"/>
        <w:right w:val="none" w:sz="0" w:space="0" w:color="auto"/>
      </w:divBdr>
    </w:div>
    <w:div w:id="2034576663">
      <w:bodyDiv w:val="1"/>
      <w:marLeft w:val="0"/>
      <w:marRight w:val="0"/>
      <w:marTop w:val="0"/>
      <w:marBottom w:val="0"/>
      <w:divBdr>
        <w:top w:val="none" w:sz="0" w:space="0" w:color="auto"/>
        <w:left w:val="none" w:sz="0" w:space="0" w:color="auto"/>
        <w:bottom w:val="none" w:sz="0" w:space="0" w:color="auto"/>
        <w:right w:val="none" w:sz="0" w:space="0" w:color="auto"/>
      </w:divBdr>
    </w:div>
    <w:div w:id="207195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lo.org/dyn/normlex/es/f?p=NORMLEXPUB:12100:0::NO:12100:P12100_INSTRUMENT_ID:312243:N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3A032-A54C-4E3B-8E35-210AD3A51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882</TotalTime>
  <Pages>5</Pages>
  <Words>1813</Words>
  <Characters>9973</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Considerando que:</vt:lpstr>
    </vt:vector>
  </TitlesOfParts>
  <Company/>
  <LinksUpToDate>false</LinksUpToDate>
  <CharactersWithSpaces>11763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Considerando que:</dc:title>
  <dc:subject/>
  <dc:creator>Carlos Mata</dc:creator>
  <cp:keywords/>
  <cp:lastModifiedBy>Ana Ruth Solano Moya</cp:lastModifiedBy>
  <cp:revision>153</cp:revision>
  <cp:lastPrinted>2019-06-19T20:27:00Z</cp:lastPrinted>
  <dcterms:created xsi:type="dcterms:W3CDTF">2018-05-02T21:37:00Z</dcterms:created>
  <dcterms:modified xsi:type="dcterms:W3CDTF">2019-06-26T19:30:00Z</dcterms:modified>
</cp:coreProperties>
</file>