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B3499">
        <w:rPr>
          <w:rFonts w:ascii="Arial" w:hAnsi="Arial" w:cs="Arial"/>
          <w:b/>
          <w:bCs/>
          <w:iCs/>
          <w:sz w:val="26"/>
          <w:szCs w:val="22"/>
          <w:lang w:val="es-CR"/>
        </w:rPr>
        <w:t>649</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BB3499" w:rsidRPr="00771F15" w:rsidRDefault="00BB3499" w:rsidP="00BB3499">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BB3499" w:rsidRPr="00771F15" w:rsidRDefault="00BB3499" w:rsidP="00BB349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Pr>
                <w:rFonts w:ascii="Arial" w:eastAsia="Cambria" w:hAnsi="Arial" w:cs="Arial"/>
                <w:sz w:val="22"/>
                <w:szCs w:val="22"/>
                <w:lang w:val="es-ES_tradnl" w:eastAsia="en-US"/>
              </w:rPr>
              <w:t xml:space="preserve"> y Presidenta </w:t>
            </w:r>
            <w:r w:rsidRPr="00771F15">
              <w:rPr>
                <w:rFonts w:ascii="Arial" w:eastAsia="Cambria" w:hAnsi="Arial" w:cs="Arial"/>
                <w:sz w:val="22"/>
                <w:szCs w:val="22"/>
                <w:lang w:val="es-ES_tradnl" w:eastAsia="en-US"/>
              </w:rPr>
              <w:t>de</w:t>
            </w:r>
            <w:r>
              <w:rPr>
                <w:rFonts w:ascii="Arial" w:eastAsia="Cambria" w:hAnsi="Arial" w:cs="Arial"/>
                <w:sz w:val="22"/>
                <w:szCs w:val="22"/>
                <w:lang w:val="es-ES_tradnl" w:eastAsia="en-US"/>
              </w:rPr>
              <w:t>l Consejo de</w:t>
            </w:r>
            <w:r w:rsidRPr="00771F15">
              <w:rPr>
                <w:rFonts w:ascii="Arial" w:eastAsia="Cambria" w:hAnsi="Arial" w:cs="Arial"/>
                <w:sz w:val="22"/>
                <w:szCs w:val="22"/>
                <w:lang w:val="es-ES_tradnl" w:eastAsia="en-US"/>
              </w:rPr>
              <w:t xml:space="preserve"> Docencia </w:t>
            </w:r>
          </w:p>
          <w:p w:rsidR="00BB3499" w:rsidRPr="00771F15" w:rsidRDefault="00BB3499" w:rsidP="00BB3499">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BB3499" w:rsidRPr="00771F15" w:rsidRDefault="00BB3499" w:rsidP="00BB3499">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BB3499" w:rsidRPr="00771F15" w:rsidRDefault="00BB3499" w:rsidP="00BB349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BB3499" w:rsidRPr="00771F15" w:rsidRDefault="00BB3499" w:rsidP="00BB3499">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BB3499" w:rsidRPr="00771F15" w:rsidRDefault="00BB3499" w:rsidP="00BB349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BB3499" w:rsidRPr="00771F15" w:rsidRDefault="00BB3499" w:rsidP="00BB3499">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BB3499" w:rsidRDefault="00BB3499" w:rsidP="00BB349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19710D" w:rsidRDefault="0019710D" w:rsidP="005F0A2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661A8B" w:rsidRPr="00771F15" w:rsidRDefault="005F0A21" w:rsidP="00661A8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310AFA"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661A8B">
              <w:rPr>
                <w:rFonts w:ascii="Arial" w:eastAsia="Cambria" w:hAnsi="Arial" w:cs="Arial"/>
                <w:b/>
                <w:sz w:val="22"/>
                <w:szCs w:val="22"/>
                <w:lang w:val="es-ES_tradnl" w:eastAsia="en-US"/>
              </w:rPr>
              <w:t xml:space="preserve"> de julio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310AFA">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12</w:t>
            </w:r>
            <w:r w:rsidR="00310AFA">
              <w:rPr>
                <w:rFonts w:ascii="Arial" w:eastAsia="Calibri" w:hAnsi="Arial" w:cs="Arial"/>
                <w:b/>
                <w:sz w:val="22"/>
                <w:szCs w:val="22"/>
              </w:rPr>
              <w:t>9</w:t>
            </w:r>
            <w:r w:rsidRPr="008F0835">
              <w:rPr>
                <w:rFonts w:ascii="Arial" w:eastAsia="Calibri" w:hAnsi="Arial" w:cs="Arial"/>
                <w:b/>
                <w:sz w:val="22"/>
                <w:szCs w:val="22"/>
              </w:rPr>
              <w:t xml:space="preserve">, Artículo </w:t>
            </w:r>
            <w:r>
              <w:rPr>
                <w:rFonts w:ascii="Arial" w:eastAsia="Calibri" w:hAnsi="Arial" w:cs="Arial"/>
                <w:b/>
                <w:sz w:val="22"/>
                <w:szCs w:val="22"/>
              </w:rPr>
              <w:t>1</w:t>
            </w:r>
            <w:r w:rsidR="00310AFA">
              <w:rPr>
                <w:rFonts w:ascii="Arial" w:eastAsia="Calibri" w:hAnsi="Arial" w:cs="Arial"/>
                <w:b/>
                <w:sz w:val="22"/>
                <w:szCs w:val="22"/>
              </w:rPr>
              <w:t>3</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310AFA">
              <w:rPr>
                <w:rFonts w:ascii="Arial" w:eastAsia="Calibri" w:hAnsi="Arial" w:cs="Arial"/>
                <w:b/>
                <w:sz w:val="22"/>
                <w:szCs w:val="22"/>
              </w:rPr>
              <w:t>31</w:t>
            </w:r>
            <w:r>
              <w:rPr>
                <w:rFonts w:ascii="Arial" w:eastAsia="Calibri" w:hAnsi="Arial" w:cs="Arial"/>
                <w:b/>
                <w:sz w:val="22"/>
                <w:szCs w:val="22"/>
              </w:rPr>
              <w:t xml:space="preserve"> de julio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310AFA" w:rsidRPr="008B4CF8">
              <w:rPr>
                <w:rFonts w:ascii="Arial" w:hAnsi="Arial" w:cs="Arial"/>
                <w:b/>
                <w:color w:val="212121"/>
                <w:sz w:val="22"/>
                <w:szCs w:val="22"/>
              </w:rPr>
              <w:t>Consulta a la Comunidad Institucional sobre la modificación del acuerdo de la Sesión Ordinaria No. 2945, Artículo 11, del 28 de octubre de 2015: “Reforma a los criterios de selección para el Programa de Atracción, Selección, Admisión y Permanencia con Equidad en el ITCR”</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B3499" w:rsidRDefault="00BB3499" w:rsidP="007742A1">
      <w:pPr>
        <w:jc w:val="both"/>
        <w:rPr>
          <w:rFonts w:ascii="Arial" w:eastAsia="Cambria" w:hAnsi="Arial" w:cs="Arial"/>
          <w:lang w:val="es-ES_tradnl" w:eastAsia="en-US"/>
        </w:rPr>
      </w:pPr>
    </w:p>
    <w:p w:rsidR="00BB3499" w:rsidRPr="00BB3499" w:rsidRDefault="00BB3499" w:rsidP="00BB3499">
      <w:pPr>
        <w:tabs>
          <w:tab w:val="left" w:pos="3070"/>
        </w:tabs>
        <w:jc w:val="both"/>
        <w:rPr>
          <w:rFonts w:ascii="Arial" w:eastAsia="Arial" w:hAnsi="Arial" w:cs="Arial"/>
          <w:b/>
          <w:lang w:val="es-CR" w:eastAsia="es-CR"/>
        </w:rPr>
      </w:pPr>
      <w:r w:rsidRPr="00BB3499">
        <w:rPr>
          <w:rFonts w:ascii="Arial" w:eastAsia="Arial" w:hAnsi="Arial" w:cs="Arial"/>
          <w:b/>
          <w:lang w:val="es-CR" w:eastAsia="es-CR"/>
        </w:rPr>
        <w:t>RESULTANDO QUE:</w:t>
      </w:r>
    </w:p>
    <w:p w:rsidR="00BB3499" w:rsidRPr="00BB3499" w:rsidRDefault="00BB3499" w:rsidP="00BB3499">
      <w:pPr>
        <w:tabs>
          <w:tab w:val="left" w:pos="3070"/>
        </w:tabs>
        <w:jc w:val="both"/>
        <w:rPr>
          <w:rFonts w:ascii="Arial" w:eastAsia="Arial" w:hAnsi="Arial" w:cs="Arial"/>
          <w:b/>
          <w:lang w:val="es-CR" w:eastAsia="es-CR"/>
        </w:rPr>
      </w:pPr>
    </w:p>
    <w:p w:rsidR="00BB3499" w:rsidRPr="00BB3499" w:rsidRDefault="00BB3499" w:rsidP="002273E1">
      <w:pPr>
        <w:numPr>
          <w:ilvl w:val="0"/>
          <w:numId w:val="5"/>
        </w:numPr>
        <w:ind w:right="284"/>
        <w:jc w:val="both"/>
        <w:rPr>
          <w:color w:val="4E4E4E"/>
          <w:sz w:val="20"/>
          <w:szCs w:val="20"/>
          <w:lang w:val="es-CR" w:eastAsia="es-CR"/>
        </w:rPr>
      </w:pPr>
      <w:r w:rsidRPr="00BB3499">
        <w:rPr>
          <w:rFonts w:ascii="Arial" w:eastAsia="Arial" w:hAnsi="Arial" w:cs="Arial"/>
          <w:color w:val="000000"/>
          <w:lang w:val="es-CR" w:eastAsia="es-CR"/>
        </w:rPr>
        <w:t>Las Políticas Generales para el periodo 2015-20</w:t>
      </w:r>
      <w:r w:rsidRPr="00BB3499">
        <w:rPr>
          <w:rFonts w:ascii="Arial" w:eastAsia="Arial" w:hAnsi="Arial" w:cs="Arial"/>
          <w:lang w:val="es-CR" w:eastAsia="es-CR"/>
        </w:rPr>
        <w:t>20,</w:t>
      </w:r>
      <w:r w:rsidRPr="00BB3499">
        <w:rPr>
          <w:rFonts w:ascii="Arial" w:eastAsia="Arial" w:hAnsi="Arial" w:cs="Arial"/>
          <w:color w:val="000000"/>
          <w:lang w:val="es-CR" w:eastAsia="es-CR"/>
        </w:rPr>
        <w:t xml:space="preserve"> aprobadas por la Asamblea Institucional Representativa en la Sesión Ordinaria No. 88-2015, indican en el enunciado 8 y 17, respectivamente:</w:t>
      </w:r>
    </w:p>
    <w:p w:rsidR="00BB3499" w:rsidRPr="00BB3499" w:rsidRDefault="00BB3499" w:rsidP="00BB3499">
      <w:pPr>
        <w:pBdr>
          <w:top w:val="nil"/>
          <w:left w:val="nil"/>
          <w:bottom w:val="nil"/>
          <w:right w:val="nil"/>
          <w:between w:val="nil"/>
        </w:pBdr>
        <w:ind w:left="390" w:right="281"/>
        <w:jc w:val="both"/>
        <w:rPr>
          <w:rFonts w:ascii="Arial" w:eastAsia="Arial" w:hAnsi="Arial" w:cs="Arial"/>
          <w:color w:val="000000"/>
          <w:lang w:val="es-CR" w:eastAsia="es-CR"/>
        </w:rPr>
      </w:pPr>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r w:rsidRPr="00BB3499">
        <w:rPr>
          <w:rFonts w:ascii="Arial" w:eastAsia="Arial" w:hAnsi="Arial" w:cs="Arial"/>
          <w:i/>
          <w:color w:val="000000"/>
          <w:sz w:val="22"/>
          <w:szCs w:val="22"/>
          <w:lang w:val="es-CR" w:eastAsia="es-CR"/>
        </w:rPr>
        <w:t>8. Se desarrollarán estrategias que contribuyan a mejorar el acceso, la vida estudiantil, la formación integral y el éxito académico para los estudiantes del ITCR, procurando la equidad de condiciones para las poblaciones vulnerables y de bajo nivel socioeconómico.</w:t>
      </w:r>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r w:rsidRPr="00BB3499">
        <w:rPr>
          <w:rFonts w:ascii="Arial" w:eastAsia="Arial" w:hAnsi="Arial" w:cs="Arial"/>
          <w:i/>
          <w:color w:val="000000"/>
          <w:sz w:val="22"/>
          <w:szCs w:val="22"/>
          <w:lang w:val="es-CR" w:eastAsia="es-CR"/>
        </w:rPr>
        <w:t>17. Se desarrollarán acciones en distintas regiones para ampliar el acceso a la educación superior y contribuir con el desarrollo integral de la población, con atención a necesidades de grupos vulnerables, en condición de desventaja social.</w:t>
      </w:r>
    </w:p>
    <w:p w:rsidR="00BB3499" w:rsidRPr="00BB3499" w:rsidRDefault="00BB3499" w:rsidP="00BB3499">
      <w:pPr>
        <w:pBdr>
          <w:top w:val="nil"/>
          <w:left w:val="nil"/>
          <w:bottom w:val="nil"/>
          <w:right w:val="nil"/>
          <w:between w:val="nil"/>
        </w:pBdr>
        <w:ind w:left="390" w:right="281"/>
        <w:jc w:val="both"/>
        <w:rPr>
          <w:rFonts w:ascii="Arial" w:eastAsia="Arial" w:hAnsi="Arial" w:cs="Arial"/>
          <w:color w:val="4E4E4E"/>
          <w:sz w:val="17"/>
          <w:szCs w:val="17"/>
          <w:lang w:val="es-CR" w:eastAsia="es-CR"/>
        </w:rPr>
      </w:pPr>
    </w:p>
    <w:p w:rsidR="00BB3499" w:rsidRPr="00BB3499" w:rsidRDefault="00BB3499" w:rsidP="00BB3499">
      <w:pPr>
        <w:rPr>
          <w:rFonts w:ascii="Arial" w:eastAsia="Arial" w:hAnsi="Arial" w:cs="Arial"/>
          <w:b/>
          <w:sz w:val="20"/>
          <w:szCs w:val="20"/>
          <w:lang w:val="es-CR" w:eastAsia="es-CR"/>
        </w:rPr>
      </w:pPr>
    </w:p>
    <w:p w:rsidR="00BB3499" w:rsidRPr="00BB3499" w:rsidRDefault="00BB3499" w:rsidP="002273E1">
      <w:pPr>
        <w:numPr>
          <w:ilvl w:val="0"/>
          <w:numId w:val="5"/>
        </w:numPr>
        <w:ind w:right="284"/>
        <w:jc w:val="both"/>
        <w:rPr>
          <w:color w:val="000000"/>
          <w:sz w:val="20"/>
          <w:szCs w:val="20"/>
          <w:lang w:val="es-CR" w:eastAsia="es-CR"/>
        </w:rPr>
      </w:pPr>
      <w:r w:rsidRPr="00BB3499">
        <w:rPr>
          <w:rFonts w:ascii="Arial" w:eastAsia="Arial" w:hAnsi="Arial" w:cs="Arial"/>
          <w:color w:val="000000"/>
          <w:lang w:val="es-CR" w:eastAsia="es-CR"/>
        </w:rPr>
        <w:t>Las Políticas Específicas para el año en curso, aprobadas por el Consejo Institucional en Sesión Ordinaria 3070, Artículo 8, del 17 de mayo de 2018, señalan en el inciso 8.1 y 17.1, respectivamente:</w:t>
      </w:r>
    </w:p>
    <w:p w:rsidR="00BB3499" w:rsidRPr="00BB3499" w:rsidRDefault="00BB3499" w:rsidP="00BB3499">
      <w:pPr>
        <w:pBdr>
          <w:top w:val="nil"/>
          <w:left w:val="nil"/>
          <w:bottom w:val="nil"/>
          <w:right w:val="nil"/>
          <w:between w:val="nil"/>
        </w:pBdr>
        <w:ind w:left="390" w:right="281"/>
        <w:jc w:val="both"/>
        <w:rPr>
          <w:rFonts w:ascii="Arial" w:eastAsia="Arial" w:hAnsi="Arial" w:cs="Arial"/>
          <w:color w:val="000000"/>
          <w:lang w:val="es-CR" w:eastAsia="es-CR"/>
        </w:rPr>
      </w:pPr>
      <w:bookmarkStart w:id="0" w:name="_gjdgxs" w:colFirst="0" w:colLast="0"/>
      <w:bookmarkEnd w:id="0"/>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r w:rsidRPr="00BB3499">
        <w:rPr>
          <w:rFonts w:ascii="Arial" w:eastAsia="Arial" w:hAnsi="Arial" w:cs="Arial"/>
          <w:i/>
          <w:sz w:val="22"/>
          <w:szCs w:val="22"/>
          <w:lang w:val="es-CR" w:eastAsia="es-CR"/>
        </w:rPr>
        <w:t xml:space="preserve">8.1 </w:t>
      </w:r>
      <w:r w:rsidRPr="00BB3499">
        <w:rPr>
          <w:rFonts w:ascii="Arial" w:eastAsia="Arial" w:hAnsi="Arial" w:cs="Arial"/>
          <w:i/>
          <w:color w:val="000000"/>
          <w:sz w:val="22"/>
          <w:szCs w:val="22"/>
          <w:lang w:val="es-CR" w:eastAsia="es-CR"/>
        </w:rPr>
        <w:t>Se crearán y fortalecerán los programas existentes para el acceso, la formación integral, el bienestar estudiantil, la permanencia óptima y la graduación exitosa de los estudiantes.</w:t>
      </w:r>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r w:rsidRPr="00BB3499">
        <w:rPr>
          <w:rFonts w:ascii="Arial" w:eastAsia="Arial" w:hAnsi="Arial" w:cs="Arial"/>
          <w:i/>
          <w:color w:val="000000"/>
          <w:sz w:val="22"/>
          <w:szCs w:val="22"/>
          <w:lang w:val="es-CR" w:eastAsia="es-CR"/>
        </w:rPr>
        <w:t>17.1 Se fortalecerán las acciones para brindar mayor acceso a la educación técnica y superior en distintas regiones del país, así como a la población de grupos vulnerables o en condición de desventaja social.</w:t>
      </w:r>
    </w:p>
    <w:p w:rsidR="00BB3499" w:rsidRPr="00BB3499" w:rsidRDefault="00BB3499" w:rsidP="00BB3499">
      <w:pPr>
        <w:pBdr>
          <w:top w:val="nil"/>
          <w:left w:val="nil"/>
          <w:bottom w:val="nil"/>
          <w:right w:val="nil"/>
          <w:between w:val="nil"/>
        </w:pBdr>
        <w:ind w:left="390" w:right="281"/>
        <w:jc w:val="both"/>
        <w:rPr>
          <w:rFonts w:ascii="Arial" w:eastAsia="Arial" w:hAnsi="Arial" w:cs="Arial"/>
          <w:color w:val="000000"/>
          <w:lang w:val="es-CR" w:eastAsia="es-CR"/>
        </w:rPr>
      </w:pPr>
    </w:p>
    <w:p w:rsidR="00BB3499" w:rsidRPr="00BB3499" w:rsidRDefault="00BB3499" w:rsidP="002273E1">
      <w:pPr>
        <w:numPr>
          <w:ilvl w:val="0"/>
          <w:numId w:val="5"/>
        </w:numPr>
        <w:ind w:right="284"/>
        <w:jc w:val="both"/>
        <w:rPr>
          <w:color w:val="000000"/>
          <w:sz w:val="20"/>
          <w:szCs w:val="20"/>
          <w:lang w:val="es-CR" w:eastAsia="es-CR"/>
        </w:rPr>
      </w:pPr>
      <w:r w:rsidRPr="00BB3499">
        <w:rPr>
          <w:rFonts w:ascii="Arial" w:eastAsia="Arial" w:hAnsi="Arial" w:cs="Arial"/>
          <w:color w:val="000000"/>
          <w:lang w:val="es-CR" w:eastAsia="es-CR"/>
        </w:rPr>
        <w:t xml:space="preserve">El Reglamento de Admisión del Instituto Tecnológico de Costa Rica, establece en su artículo 9 BIS, </w:t>
      </w:r>
      <w:r w:rsidRPr="00BB3499">
        <w:rPr>
          <w:rFonts w:ascii="Arial" w:eastAsia="Arial" w:hAnsi="Arial" w:cs="Arial"/>
          <w:lang w:val="es-CR" w:eastAsia="es-CR"/>
        </w:rPr>
        <w:t>que</w:t>
      </w:r>
      <w:r w:rsidRPr="00BB3499">
        <w:rPr>
          <w:rFonts w:ascii="Arial" w:eastAsia="Arial" w:hAnsi="Arial" w:cs="Arial"/>
          <w:color w:val="9900FF"/>
          <w:lang w:val="es-CR" w:eastAsia="es-CR"/>
        </w:rPr>
        <w:t xml:space="preserve"> </w:t>
      </w:r>
      <w:r w:rsidRPr="00BB3499">
        <w:rPr>
          <w:rFonts w:ascii="Arial" w:eastAsia="Arial" w:hAnsi="Arial" w:cs="Arial"/>
          <w:color w:val="000000"/>
          <w:lang w:val="es-CR" w:eastAsia="es-CR"/>
        </w:rPr>
        <w:t xml:space="preserve">las modalidades de admisión vía examen de admisión, sean: </w:t>
      </w:r>
    </w:p>
    <w:p w:rsidR="00BB3499" w:rsidRPr="00BB3499" w:rsidRDefault="00BB3499" w:rsidP="00BB3499">
      <w:pPr>
        <w:pBdr>
          <w:top w:val="nil"/>
          <w:left w:val="nil"/>
          <w:bottom w:val="nil"/>
          <w:right w:val="nil"/>
          <w:between w:val="nil"/>
        </w:pBdr>
        <w:ind w:left="390" w:right="281"/>
        <w:jc w:val="both"/>
        <w:rPr>
          <w:rFonts w:ascii="Arial" w:eastAsia="Arial" w:hAnsi="Arial" w:cs="Arial"/>
          <w:color w:val="000000"/>
          <w:lang w:val="es-CR" w:eastAsia="es-CR"/>
        </w:rPr>
      </w:pPr>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r w:rsidRPr="00BB3499">
        <w:rPr>
          <w:rFonts w:ascii="Arial" w:eastAsia="Arial" w:hAnsi="Arial" w:cs="Arial"/>
          <w:i/>
          <w:color w:val="000000"/>
          <w:sz w:val="22"/>
          <w:szCs w:val="22"/>
          <w:lang w:val="es-CR" w:eastAsia="es-CR"/>
        </w:rPr>
        <w:t>a.1 Abierta. En la modalidad de Admisión Abierta podrán participar todas las personas que realizaron examen de admisión y obtuvieron un puntaje de admisión igual o superior a la nota de corte.</w:t>
      </w:r>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p>
    <w:p w:rsidR="00BB3499" w:rsidRPr="00BB3499" w:rsidRDefault="00BB3499" w:rsidP="00BB3499">
      <w:pPr>
        <w:pBdr>
          <w:top w:val="nil"/>
          <w:left w:val="nil"/>
          <w:bottom w:val="nil"/>
          <w:right w:val="nil"/>
          <w:between w:val="nil"/>
        </w:pBdr>
        <w:ind w:left="706" w:right="227"/>
        <w:jc w:val="both"/>
        <w:rPr>
          <w:rFonts w:ascii="Arial" w:eastAsia="Arial" w:hAnsi="Arial" w:cs="Arial"/>
          <w:i/>
          <w:color w:val="000000"/>
          <w:sz w:val="22"/>
          <w:szCs w:val="22"/>
          <w:lang w:val="es-CR" w:eastAsia="es-CR"/>
        </w:rPr>
      </w:pPr>
      <w:r w:rsidRPr="00BB3499">
        <w:rPr>
          <w:rFonts w:ascii="Arial" w:eastAsia="Arial" w:hAnsi="Arial" w:cs="Arial"/>
          <w:i/>
          <w:color w:val="000000"/>
          <w:sz w:val="22"/>
          <w:szCs w:val="22"/>
          <w:lang w:val="es-CR" w:eastAsia="es-CR"/>
        </w:rPr>
        <w:t>a.2 Restringida. En la modalidad de Admisión Restringida podrán participar todas las personas que no fueron admitidas mediante la Admisión Abierta, que estén como elegibles y que cumplan con los criterios especiales de admisión de esta modalidad, ellos con el fin de lograr un mayor ingreso de estudiantes, resguardando principios de equidad social y beneficiando a los sectores marginados de la sociedad.</w:t>
      </w:r>
    </w:p>
    <w:p w:rsidR="00BB3499" w:rsidRPr="00BB3499" w:rsidRDefault="00BB3499" w:rsidP="00BB3499">
      <w:pPr>
        <w:pBdr>
          <w:top w:val="nil"/>
          <w:left w:val="nil"/>
          <w:bottom w:val="nil"/>
          <w:right w:val="nil"/>
          <w:between w:val="nil"/>
        </w:pBdr>
        <w:ind w:left="390" w:right="281"/>
        <w:jc w:val="both"/>
        <w:rPr>
          <w:rFonts w:ascii="Arial" w:eastAsia="Arial" w:hAnsi="Arial" w:cs="Arial"/>
          <w:i/>
          <w:color w:val="000000"/>
          <w:sz w:val="22"/>
          <w:szCs w:val="22"/>
          <w:lang w:val="es-CR" w:eastAsia="es-CR"/>
        </w:rPr>
      </w:pPr>
    </w:p>
    <w:p w:rsidR="00BB3499" w:rsidRPr="00BB3499" w:rsidRDefault="00BB3499" w:rsidP="002273E1">
      <w:pPr>
        <w:numPr>
          <w:ilvl w:val="0"/>
          <w:numId w:val="5"/>
        </w:numPr>
        <w:ind w:right="284"/>
        <w:jc w:val="both"/>
        <w:rPr>
          <w:color w:val="000000"/>
          <w:sz w:val="20"/>
          <w:szCs w:val="20"/>
          <w:lang w:val="es-CR" w:eastAsia="es-CR"/>
        </w:rPr>
      </w:pPr>
      <w:r w:rsidRPr="00BB3499">
        <w:rPr>
          <w:rFonts w:ascii="Arial" w:eastAsia="Arial" w:hAnsi="Arial" w:cs="Arial"/>
          <w:lang w:val="es-CR" w:eastAsia="es-CR"/>
        </w:rPr>
        <w:t>En Sesión Ordinaria No. 2633, artículo 14, del 15 de octubre del 2009, el Consejo Institucional aprobó el Programa de Atracción, Selección, Admisión y Permanencia con Equidad en el Instituto Tecnológico de Costa Rica, a partir del primer semestre de 2010.</w:t>
      </w:r>
    </w:p>
    <w:p w:rsidR="00BB3499" w:rsidRPr="00BB3499" w:rsidRDefault="00BB3499" w:rsidP="00BB3499">
      <w:pPr>
        <w:pBdr>
          <w:top w:val="nil"/>
          <w:left w:val="nil"/>
          <w:bottom w:val="nil"/>
          <w:right w:val="nil"/>
          <w:between w:val="nil"/>
        </w:pBdr>
        <w:ind w:left="314" w:right="284"/>
        <w:jc w:val="both"/>
        <w:rPr>
          <w:rFonts w:ascii="Arial" w:eastAsia="Arial" w:hAnsi="Arial" w:cs="Arial"/>
          <w:b/>
          <w:sz w:val="20"/>
          <w:szCs w:val="20"/>
          <w:lang w:val="es-CR" w:eastAsia="es-CR"/>
        </w:rPr>
      </w:pPr>
    </w:p>
    <w:p w:rsidR="00BB3499" w:rsidRPr="00BB3499" w:rsidRDefault="00BB3499" w:rsidP="002273E1">
      <w:pPr>
        <w:numPr>
          <w:ilvl w:val="0"/>
          <w:numId w:val="5"/>
        </w:numPr>
        <w:ind w:right="284"/>
        <w:jc w:val="both"/>
        <w:rPr>
          <w:color w:val="000000"/>
          <w:sz w:val="20"/>
          <w:szCs w:val="20"/>
          <w:lang w:val="es-CR" w:eastAsia="es-CR"/>
        </w:rPr>
      </w:pPr>
      <w:r w:rsidRPr="00BB3499">
        <w:rPr>
          <w:rFonts w:ascii="Arial" w:eastAsia="Arial" w:hAnsi="Arial" w:cs="Arial"/>
          <w:color w:val="000000"/>
          <w:lang w:val="es-CR" w:eastAsia="es-CR"/>
        </w:rPr>
        <w:t xml:space="preserve">En Sesión Ordinaria No. 2945, </w:t>
      </w:r>
      <w:r w:rsidRPr="00BB3499">
        <w:rPr>
          <w:rFonts w:ascii="Arial" w:eastAsia="Arial" w:hAnsi="Arial" w:cs="Arial"/>
          <w:lang w:val="es-CR" w:eastAsia="es-CR"/>
        </w:rPr>
        <w:t>a</w:t>
      </w:r>
      <w:r w:rsidRPr="00BB3499">
        <w:rPr>
          <w:rFonts w:ascii="Arial" w:eastAsia="Arial" w:hAnsi="Arial" w:cs="Arial"/>
          <w:color w:val="000000"/>
          <w:lang w:val="es-CR" w:eastAsia="es-CR"/>
        </w:rPr>
        <w:t>rtículo 11, del 28 de octubre de 2015, el Consejo Institucional apr</w:t>
      </w:r>
      <w:r w:rsidRPr="00BB3499">
        <w:rPr>
          <w:rFonts w:ascii="Arial" w:eastAsia="Arial" w:hAnsi="Arial" w:cs="Arial"/>
          <w:lang w:val="es-CR" w:eastAsia="es-CR"/>
        </w:rPr>
        <w:t>ueba</w:t>
      </w:r>
      <w:r w:rsidRPr="00BB3499">
        <w:rPr>
          <w:rFonts w:ascii="Arial" w:eastAsia="Arial" w:hAnsi="Arial" w:cs="Arial"/>
          <w:color w:val="000000"/>
          <w:lang w:val="es-CR" w:eastAsia="es-CR"/>
        </w:rPr>
        <w:t xml:space="preserve"> modificar los criterios de admisión </w:t>
      </w:r>
      <w:r w:rsidRPr="00BB3499">
        <w:rPr>
          <w:rFonts w:ascii="Arial" w:eastAsia="Arial" w:hAnsi="Arial" w:cs="Arial"/>
          <w:lang w:val="es-CR" w:eastAsia="es-CR"/>
        </w:rPr>
        <w:t xml:space="preserve">al </w:t>
      </w:r>
      <w:r w:rsidRPr="00BB3499">
        <w:rPr>
          <w:rFonts w:ascii="Arial" w:eastAsia="Arial" w:hAnsi="Arial" w:cs="Arial"/>
          <w:color w:val="000000"/>
          <w:lang w:val="es-CR" w:eastAsia="es-CR"/>
        </w:rPr>
        <w:t>Programa,</w:t>
      </w:r>
      <w:r w:rsidRPr="00BB3499">
        <w:rPr>
          <w:rFonts w:ascii="Arial" w:eastAsia="Arial" w:hAnsi="Arial" w:cs="Arial"/>
          <w:lang w:val="es-CR" w:eastAsia="es-CR"/>
        </w:rPr>
        <w:t xml:space="preserve"> </w:t>
      </w:r>
      <w:r w:rsidRPr="00BB3499">
        <w:rPr>
          <w:rFonts w:ascii="Arial" w:eastAsia="Arial" w:hAnsi="Arial" w:cs="Arial"/>
          <w:color w:val="000000"/>
          <w:lang w:val="es-CR" w:eastAsia="es-CR"/>
        </w:rPr>
        <w:t>con el fin de incorporar “poblaciones con situaciones sociales, económicas, educativas y de acceso similares a las que ya considera el PAR, pero que por su nota de admisión quedaban excluidas</w:t>
      </w:r>
      <w:r w:rsidRPr="00BB3499">
        <w:rPr>
          <w:rFonts w:ascii="Arial" w:eastAsia="Arial" w:hAnsi="Arial" w:cs="Arial"/>
          <w:lang w:val="es-CR" w:eastAsia="es-CR"/>
        </w:rPr>
        <w:t>…”.</w:t>
      </w:r>
    </w:p>
    <w:p w:rsidR="00BB3499" w:rsidRPr="00BB3499" w:rsidRDefault="00BB3499" w:rsidP="00BB3499">
      <w:pPr>
        <w:pBdr>
          <w:top w:val="nil"/>
          <w:left w:val="nil"/>
          <w:bottom w:val="nil"/>
          <w:right w:val="nil"/>
          <w:between w:val="nil"/>
        </w:pBdr>
        <w:ind w:right="281"/>
        <w:jc w:val="both"/>
        <w:rPr>
          <w:rFonts w:ascii="Arial" w:eastAsia="Arial" w:hAnsi="Arial" w:cs="Arial"/>
          <w:i/>
          <w:color w:val="000000"/>
          <w:sz w:val="22"/>
          <w:szCs w:val="22"/>
          <w:lang w:val="es-CR" w:eastAsia="es-CR"/>
        </w:rPr>
      </w:pPr>
    </w:p>
    <w:p w:rsidR="00BB3499" w:rsidRPr="00BB3499" w:rsidRDefault="00BB3499" w:rsidP="00BB3499">
      <w:pPr>
        <w:tabs>
          <w:tab w:val="left" w:pos="3070"/>
        </w:tabs>
        <w:jc w:val="both"/>
        <w:rPr>
          <w:rFonts w:ascii="Arial" w:eastAsia="Arial" w:hAnsi="Arial" w:cs="Arial"/>
          <w:b/>
          <w:lang w:val="es-CR" w:eastAsia="es-CR"/>
        </w:rPr>
      </w:pPr>
      <w:r w:rsidRPr="00BB3499">
        <w:rPr>
          <w:rFonts w:ascii="Arial" w:eastAsia="Arial" w:hAnsi="Arial" w:cs="Arial"/>
          <w:b/>
          <w:lang w:val="es-CR" w:eastAsia="es-CR"/>
        </w:rPr>
        <w:t>CONSIDERANDO QUE:</w:t>
      </w:r>
    </w:p>
    <w:p w:rsidR="00BB3499" w:rsidRPr="00BB3499" w:rsidRDefault="00BB3499" w:rsidP="00BB3499">
      <w:pPr>
        <w:pBdr>
          <w:top w:val="nil"/>
          <w:left w:val="nil"/>
          <w:bottom w:val="nil"/>
          <w:right w:val="nil"/>
          <w:between w:val="nil"/>
        </w:pBdr>
        <w:jc w:val="both"/>
        <w:rPr>
          <w:rFonts w:ascii="ArialMT" w:eastAsia="ArialMT" w:hAnsi="ArialMT" w:cs="ArialMT"/>
          <w:i/>
          <w:color w:val="000000"/>
          <w:sz w:val="20"/>
          <w:szCs w:val="20"/>
          <w:lang w:val="es-CR" w:eastAsia="es-CR"/>
        </w:rPr>
      </w:pPr>
    </w:p>
    <w:p w:rsidR="00BB3499" w:rsidRPr="00BB3499" w:rsidRDefault="00BB3499" w:rsidP="002273E1">
      <w:pPr>
        <w:numPr>
          <w:ilvl w:val="0"/>
          <w:numId w:val="8"/>
        </w:numPr>
        <w:ind w:right="284"/>
        <w:jc w:val="both"/>
        <w:rPr>
          <w:rFonts w:ascii="Arial" w:hAnsi="Arial" w:cs="Arial"/>
          <w:sz w:val="20"/>
          <w:szCs w:val="20"/>
          <w:lang w:val="es-CR" w:eastAsia="es-CR"/>
        </w:rPr>
      </w:pPr>
      <w:r w:rsidRPr="00BB3499">
        <w:rPr>
          <w:rFonts w:ascii="Arial" w:eastAsia="Arial" w:hAnsi="Arial" w:cs="Arial"/>
          <w:lang w:val="es-CR" w:eastAsia="es-CR"/>
        </w:rPr>
        <w:t>En</w:t>
      </w:r>
      <w:r w:rsidRPr="00BB3499">
        <w:rPr>
          <w:rFonts w:ascii="Arial" w:eastAsia="Arial Unicode MS" w:hAnsi="Arial" w:cs="Arial"/>
          <w:lang w:val="es-CR" w:eastAsia="es-CR"/>
        </w:rPr>
        <w:t xml:space="preserve"> Sesión Ordinaria No. 3125, celebrada el miércoles 26 de junio de 2019, el Consejo Institucional conoce dentro del Informe de Correspondencia (artículo 3, inciso 1), el oficio VIESA-709-2019, recibido en la Secretaría del Consejo Institucional el 17 de junio del presente año, suscrito por la Dra. Claudia Madrizova </w:t>
      </w:r>
      <w:proofErr w:type="spellStart"/>
      <w:r w:rsidRPr="00BB3499">
        <w:rPr>
          <w:rFonts w:ascii="Arial" w:eastAsia="Arial Unicode MS" w:hAnsi="Arial" w:cs="Arial"/>
          <w:lang w:val="es-CR" w:eastAsia="es-CR"/>
        </w:rPr>
        <w:t>Madrizova</w:t>
      </w:r>
      <w:proofErr w:type="spellEnd"/>
      <w:r w:rsidRPr="00BB3499">
        <w:rPr>
          <w:rFonts w:ascii="Arial" w:eastAsia="Arial Unicode MS" w:hAnsi="Arial" w:cs="Arial"/>
          <w:lang w:val="es-CR" w:eastAsia="es-CR"/>
        </w:rPr>
        <w:t>, Vicerrectora de Vida Estudiantil y Servicios Académicos, dirigido al Dr. Julio César Calvo Alvarado, Presidente del Consejo Institucional; en el cual remite propuesta de modificación al Programa de Atracción, Selección, Admisión y Permanencia con Equidad en el ITCR.</w:t>
      </w:r>
    </w:p>
    <w:p w:rsidR="00BB3499" w:rsidRPr="00BB3499" w:rsidRDefault="00BB3499" w:rsidP="00BB3499">
      <w:pPr>
        <w:ind w:left="360" w:right="284"/>
        <w:jc w:val="both"/>
        <w:rPr>
          <w:rFonts w:ascii="Arial" w:eastAsia="Arial" w:hAnsi="Arial" w:cs="Arial"/>
          <w:color w:val="0000FF"/>
          <w:lang w:val="es-CR" w:eastAsia="es-CR"/>
        </w:rPr>
      </w:pPr>
    </w:p>
    <w:p w:rsidR="00BB3499" w:rsidRPr="00BB3499" w:rsidRDefault="00BB3499" w:rsidP="002273E1">
      <w:pPr>
        <w:numPr>
          <w:ilvl w:val="0"/>
          <w:numId w:val="8"/>
        </w:numPr>
        <w:pBdr>
          <w:top w:val="nil"/>
          <w:left w:val="nil"/>
          <w:bottom w:val="nil"/>
          <w:right w:val="nil"/>
          <w:between w:val="nil"/>
        </w:pBdr>
        <w:ind w:left="390" w:right="281" w:hanging="426"/>
        <w:jc w:val="both"/>
        <w:rPr>
          <w:color w:val="000000"/>
          <w:sz w:val="20"/>
          <w:szCs w:val="20"/>
          <w:lang w:val="es-CR" w:eastAsia="es-CR"/>
        </w:rPr>
      </w:pPr>
      <w:r w:rsidRPr="00BB3499">
        <w:rPr>
          <w:rFonts w:ascii="Arial" w:eastAsia="Arial" w:hAnsi="Arial" w:cs="Arial"/>
          <w:color w:val="000000"/>
          <w:lang w:val="es-CR" w:eastAsia="es-CR"/>
        </w:rPr>
        <w:t>En reunión No. 632 de la Comisión de Asuntos Académicos y Estudiantiles, realizada el 19 de julio de 2019, se conoce el det</w:t>
      </w:r>
      <w:r w:rsidRPr="00BB3499">
        <w:rPr>
          <w:rFonts w:ascii="Arial" w:eastAsia="Arial" w:hAnsi="Arial" w:cs="Arial"/>
          <w:lang w:val="es-CR" w:eastAsia="es-CR"/>
        </w:rPr>
        <w:t xml:space="preserve">alle del </w:t>
      </w:r>
      <w:r w:rsidRPr="00BB3499">
        <w:rPr>
          <w:rFonts w:ascii="Arial" w:eastAsia="Arial" w:hAnsi="Arial" w:cs="Arial"/>
          <w:color w:val="000000"/>
          <w:lang w:val="es-CR" w:eastAsia="es-CR"/>
        </w:rPr>
        <w:t xml:space="preserve">oficio supra citado y se recibe en audiencia a la Máster Sonia Chinchilla Brenes del Departamento de Orientación y Psicología, con el fin de ampliar la información relacionada con la modificación propuesta. </w:t>
      </w:r>
    </w:p>
    <w:p w:rsidR="00BB3499" w:rsidRPr="00BB3499" w:rsidRDefault="00BB3499" w:rsidP="00BB3499">
      <w:pPr>
        <w:pBdr>
          <w:top w:val="nil"/>
          <w:left w:val="nil"/>
          <w:bottom w:val="nil"/>
          <w:right w:val="nil"/>
          <w:between w:val="nil"/>
        </w:pBdr>
        <w:ind w:left="708" w:hanging="708"/>
        <w:rPr>
          <w:rFonts w:ascii="Arial" w:eastAsia="Arial" w:hAnsi="Arial" w:cs="Arial"/>
          <w:color w:val="000000"/>
          <w:lang w:val="es-CR" w:eastAsia="es-CR"/>
        </w:rPr>
      </w:pPr>
    </w:p>
    <w:p w:rsidR="00BB3499" w:rsidRPr="00BB3499" w:rsidRDefault="00BB3499" w:rsidP="002273E1">
      <w:pPr>
        <w:numPr>
          <w:ilvl w:val="0"/>
          <w:numId w:val="8"/>
        </w:numPr>
        <w:pBdr>
          <w:top w:val="nil"/>
          <w:left w:val="nil"/>
          <w:bottom w:val="nil"/>
          <w:right w:val="nil"/>
          <w:between w:val="nil"/>
        </w:pBdr>
        <w:ind w:left="390" w:right="281" w:hanging="426"/>
        <w:jc w:val="both"/>
        <w:rPr>
          <w:color w:val="000000"/>
          <w:sz w:val="20"/>
          <w:szCs w:val="20"/>
          <w:lang w:val="es-CR" w:eastAsia="es-CR"/>
        </w:rPr>
      </w:pPr>
      <w:r w:rsidRPr="00BB3499">
        <w:rPr>
          <w:rFonts w:ascii="Arial" w:eastAsia="Arial" w:hAnsi="Arial" w:cs="Arial"/>
          <w:color w:val="000000"/>
          <w:lang w:val="es-CR" w:eastAsia="es-CR"/>
        </w:rPr>
        <w:lastRenderedPageBreak/>
        <w:t xml:space="preserve">En reunión No. 634 de la Comisión de Asuntos Académicos y Estudiantiles, realizada el 26 de julio de 2019, se conoce el oficio VIESA-827-2019, recibido el 22 de julio de 2019, suscrito por la Dra. Claudia Madrizova </w:t>
      </w:r>
      <w:proofErr w:type="spellStart"/>
      <w:r w:rsidRPr="00BB3499">
        <w:rPr>
          <w:rFonts w:ascii="Arial" w:eastAsia="Arial" w:hAnsi="Arial" w:cs="Arial"/>
          <w:color w:val="000000"/>
          <w:lang w:val="es-CR" w:eastAsia="es-CR"/>
        </w:rPr>
        <w:t>Madrizova</w:t>
      </w:r>
      <w:proofErr w:type="spellEnd"/>
      <w:r w:rsidRPr="00BB3499">
        <w:rPr>
          <w:rFonts w:ascii="Arial" w:eastAsia="Arial" w:hAnsi="Arial" w:cs="Arial"/>
          <w:color w:val="000000"/>
          <w:lang w:val="es-CR" w:eastAsia="es-CR"/>
        </w:rPr>
        <w:t>, Vicerrectora de Vida Estudiantil y Servicios Académicos y dirigido al Ing. Luis Paulino Méndez, Presidente del Consejo Institucional; en el cual se solicita dejar sin efecto el oficio VIESA-709-2019 y se sustituya por el VIESA-827-2019.</w:t>
      </w:r>
    </w:p>
    <w:p w:rsidR="00BB3499" w:rsidRPr="00BB3499" w:rsidRDefault="00BB3499" w:rsidP="00BB3499">
      <w:pPr>
        <w:pBdr>
          <w:top w:val="nil"/>
          <w:left w:val="nil"/>
          <w:bottom w:val="nil"/>
          <w:right w:val="nil"/>
          <w:between w:val="nil"/>
        </w:pBdr>
        <w:ind w:right="281"/>
        <w:jc w:val="both"/>
        <w:rPr>
          <w:color w:val="000000"/>
          <w:sz w:val="20"/>
          <w:szCs w:val="20"/>
          <w:lang w:val="es-CR" w:eastAsia="es-CR"/>
        </w:rPr>
      </w:pPr>
    </w:p>
    <w:p w:rsidR="00BB3499" w:rsidRPr="00BB3499" w:rsidRDefault="00BB3499" w:rsidP="002273E1">
      <w:pPr>
        <w:numPr>
          <w:ilvl w:val="0"/>
          <w:numId w:val="8"/>
        </w:numPr>
        <w:pBdr>
          <w:top w:val="nil"/>
          <w:left w:val="nil"/>
          <w:bottom w:val="nil"/>
          <w:right w:val="nil"/>
          <w:between w:val="nil"/>
        </w:pBdr>
        <w:ind w:left="390" w:right="281" w:hanging="426"/>
        <w:jc w:val="both"/>
        <w:rPr>
          <w:color w:val="000000"/>
          <w:sz w:val="20"/>
          <w:szCs w:val="20"/>
          <w:lang w:val="es-CR" w:eastAsia="es-CR"/>
        </w:rPr>
      </w:pPr>
      <w:r w:rsidRPr="00BB3499">
        <w:rPr>
          <w:rFonts w:ascii="Arial" w:eastAsia="Arial" w:hAnsi="Arial" w:cs="Arial"/>
          <w:color w:val="000000"/>
          <w:lang w:val="es-CR" w:eastAsia="es-CR"/>
        </w:rPr>
        <w:t xml:space="preserve">La propuesta de modificación que se remite en el oficio final consiste en la variación de los criterios de admisibilidad establecidos en los incisos a.4 y g. del Programa de Admisión Restringida, en los siguientes términos: </w:t>
      </w:r>
    </w:p>
    <w:p w:rsidR="00BB3499" w:rsidRPr="00BB3499" w:rsidRDefault="00BB3499" w:rsidP="00BB3499">
      <w:pPr>
        <w:pBdr>
          <w:top w:val="nil"/>
          <w:left w:val="nil"/>
          <w:bottom w:val="nil"/>
          <w:right w:val="nil"/>
          <w:between w:val="nil"/>
        </w:pBdr>
        <w:ind w:left="708" w:hanging="708"/>
        <w:rPr>
          <w:rFonts w:ascii="ArialMT" w:eastAsia="ArialMT" w:hAnsi="ArialMT" w:cs="ArialMT"/>
          <w:i/>
          <w:sz w:val="20"/>
          <w:szCs w:val="20"/>
          <w:lang w:val="es-CR" w:eastAsia="es-CR"/>
        </w:rPr>
      </w:pPr>
    </w:p>
    <w:tbl>
      <w:tblPr>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6"/>
        <w:gridCol w:w="4312"/>
      </w:tblGrid>
      <w:tr w:rsidR="00BB3499" w:rsidRPr="00BB3499" w:rsidTr="00AA0D2E">
        <w:trPr>
          <w:jc w:val="center"/>
        </w:trPr>
        <w:tc>
          <w:tcPr>
            <w:tcW w:w="4326" w:type="dxa"/>
            <w:shd w:val="clear" w:color="auto" w:fill="BFBFBF"/>
          </w:tcPr>
          <w:p w:rsidR="00BB3499" w:rsidRPr="00BB3499" w:rsidRDefault="00BB3499" w:rsidP="00BB3499">
            <w:pPr>
              <w:pBdr>
                <w:top w:val="nil"/>
                <w:left w:val="nil"/>
                <w:bottom w:val="nil"/>
                <w:right w:val="nil"/>
                <w:between w:val="nil"/>
              </w:pBdr>
              <w:ind w:left="360" w:hanging="708"/>
              <w:jc w:val="center"/>
              <w:rPr>
                <w:rFonts w:ascii="Arial" w:eastAsia="Arial" w:hAnsi="Arial" w:cs="Arial"/>
                <w:b/>
                <w:color w:val="000000"/>
                <w:lang w:val="es-CR" w:eastAsia="es-CR"/>
              </w:rPr>
            </w:pPr>
            <w:r w:rsidRPr="00BB3499">
              <w:rPr>
                <w:rFonts w:ascii="Arial" w:eastAsia="Arial" w:hAnsi="Arial" w:cs="Arial"/>
                <w:b/>
                <w:color w:val="000000"/>
                <w:lang w:val="es-CR" w:eastAsia="es-CR"/>
              </w:rPr>
              <w:t>ACTUAL</w:t>
            </w:r>
          </w:p>
        </w:tc>
        <w:tc>
          <w:tcPr>
            <w:tcW w:w="4312" w:type="dxa"/>
            <w:shd w:val="clear" w:color="auto" w:fill="BFBFBF"/>
          </w:tcPr>
          <w:p w:rsidR="00BB3499" w:rsidRPr="00BB3499" w:rsidRDefault="00BB3499" w:rsidP="00BB3499">
            <w:pPr>
              <w:pBdr>
                <w:top w:val="nil"/>
                <w:left w:val="nil"/>
                <w:bottom w:val="nil"/>
                <w:right w:val="nil"/>
                <w:between w:val="nil"/>
              </w:pBdr>
              <w:ind w:left="360" w:hanging="708"/>
              <w:jc w:val="center"/>
              <w:rPr>
                <w:rFonts w:ascii="Arial" w:eastAsia="Arial" w:hAnsi="Arial" w:cs="Arial"/>
                <w:b/>
                <w:color w:val="000000"/>
                <w:lang w:val="es-CR" w:eastAsia="es-CR"/>
              </w:rPr>
            </w:pPr>
            <w:r w:rsidRPr="00BB3499">
              <w:rPr>
                <w:rFonts w:ascii="Arial" w:eastAsia="Arial" w:hAnsi="Arial" w:cs="Arial"/>
                <w:b/>
                <w:color w:val="000000"/>
                <w:lang w:val="es-CR" w:eastAsia="es-CR"/>
              </w:rPr>
              <w:t>PROPUESTA</w:t>
            </w:r>
          </w:p>
        </w:tc>
      </w:tr>
      <w:tr w:rsidR="00BB3499" w:rsidRPr="00BB3499" w:rsidTr="00AA0D2E">
        <w:trPr>
          <w:jc w:val="center"/>
        </w:trPr>
        <w:tc>
          <w:tcPr>
            <w:tcW w:w="4326" w:type="dxa"/>
          </w:tcPr>
          <w:p w:rsidR="00BB3499" w:rsidRPr="00BB3499" w:rsidRDefault="00BB3499" w:rsidP="002273E1">
            <w:pPr>
              <w:numPr>
                <w:ilvl w:val="0"/>
                <w:numId w:val="3"/>
              </w:numPr>
              <w:pBdr>
                <w:top w:val="nil"/>
                <w:left w:val="nil"/>
                <w:bottom w:val="nil"/>
                <w:right w:val="nil"/>
                <w:between w:val="nil"/>
              </w:pBdr>
              <w:jc w:val="both"/>
              <w:rPr>
                <w:rFonts w:ascii="Arial" w:eastAsia="Arial" w:hAnsi="Arial" w:cs="Arial"/>
                <w:color w:val="000000"/>
                <w:lang w:val="es-CR" w:eastAsia="es-CR"/>
              </w:rPr>
            </w:pPr>
            <w:r w:rsidRPr="00BB3499">
              <w:rPr>
                <w:rFonts w:ascii="Arial" w:eastAsia="Arial" w:hAnsi="Arial" w:cs="Arial"/>
                <w:color w:val="000000"/>
                <w:lang w:val="es-CR" w:eastAsia="es-CR"/>
              </w:rPr>
              <w:t>Los criterios de admisión son:</w:t>
            </w:r>
          </w:p>
        </w:tc>
        <w:tc>
          <w:tcPr>
            <w:tcW w:w="4312" w:type="dxa"/>
          </w:tcPr>
          <w:p w:rsidR="00BB3499" w:rsidRPr="00BB3499" w:rsidRDefault="00BB3499" w:rsidP="002273E1">
            <w:pPr>
              <w:numPr>
                <w:ilvl w:val="0"/>
                <w:numId w:val="4"/>
              </w:numPr>
              <w:pBdr>
                <w:top w:val="nil"/>
                <w:left w:val="nil"/>
                <w:bottom w:val="nil"/>
                <w:right w:val="nil"/>
                <w:between w:val="nil"/>
              </w:pBdr>
              <w:jc w:val="both"/>
              <w:rPr>
                <w:rFonts w:ascii="Arial" w:eastAsia="Arial" w:hAnsi="Arial" w:cs="Arial"/>
                <w:color w:val="000000"/>
                <w:lang w:val="es-CR" w:eastAsia="es-CR"/>
              </w:rPr>
            </w:pPr>
            <w:r w:rsidRPr="00BB3499">
              <w:rPr>
                <w:rFonts w:ascii="Arial" w:eastAsia="Arial" w:hAnsi="Arial" w:cs="Arial"/>
                <w:color w:val="000000"/>
                <w:lang w:val="es-CR" w:eastAsia="es-CR"/>
              </w:rPr>
              <w:t>Los criterios de admisión son:</w:t>
            </w:r>
          </w:p>
        </w:tc>
      </w:tr>
      <w:tr w:rsidR="00BB3499" w:rsidRPr="00BB3499" w:rsidTr="00AA0D2E">
        <w:trPr>
          <w:jc w:val="center"/>
        </w:trPr>
        <w:tc>
          <w:tcPr>
            <w:tcW w:w="4326" w:type="dxa"/>
          </w:tcPr>
          <w:p w:rsidR="00BB3499" w:rsidRPr="00BB3499" w:rsidRDefault="00BB3499" w:rsidP="00BB3499">
            <w:pPr>
              <w:pBdr>
                <w:top w:val="nil"/>
                <w:left w:val="nil"/>
                <w:bottom w:val="nil"/>
                <w:right w:val="nil"/>
                <w:between w:val="nil"/>
              </w:pBdr>
              <w:ind w:left="708" w:hanging="708"/>
              <w:jc w:val="both"/>
              <w:rPr>
                <w:rFonts w:ascii="ArialMT" w:eastAsia="ArialMT" w:hAnsi="ArialMT" w:cs="ArialMT"/>
                <w:i/>
                <w:color w:val="000000"/>
                <w:lang w:val="es-CR" w:eastAsia="es-CR"/>
              </w:rPr>
            </w:pPr>
            <w:r w:rsidRPr="00BB3499">
              <w:rPr>
                <w:rFonts w:ascii="Arial" w:eastAsia="Arial" w:hAnsi="Arial" w:cs="Arial"/>
                <w:b/>
                <w:color w:val="000000"/>
                <w:lang w:val="es-CR" w:eastAsia="es-CR"/>
              </w:rPr>
              <w:t>a.4</w:t>
            </w:r>
            <w:r w:rsidRPr="00BB3499">
              <w:rPr>
                <w:rFonts w:ascii="Arial" w:eastAsia="Arial" w:hAnsi="Arial" w:cs="Arial"/>
                <w:color w:val="000000"/>
                <w:lang w:val="es-CR" w:eastAsia="es-CR"/>
              </w:rPr>
              <w:t xml:space="preserve"> Que proceda de colegio público.</w:t>
            </w:r>
          </w:p>
        </w:tc>
        <w:tc>
          <w:tcPr>
            <w:tcW w:w="4312" w:type="dxa"/>
          </w:tcPr>
          <w:p w:rsidR="00BB3499" w:rsidRPr="00BB3499" w:rsidRDefault="00BB3499" w:rsidP="00BB3499">
            <w:pPr>
              <w:jc w:val="both"/>
              <w:rPr>
                <w:rFonts w:ascii="Arial" w:eastAsia="Arial" w:hAnsi="Arial" w:cs="Arial"/>
                <w:lang w:val="es-CR" w:eastAsia="es-CR"/>
              </w:rPr>
            </w:pPr>
            <w:r w:rsidRPr="00BB3499">
              <w:rPr>
                <w:rFonts w:ascii="Arial" w:eastAsia="Arial" w:hAnsi="Arial" w:cs="Arial"/>
                <w:b/>
                <w:lang w:val="es-CR" w:eastAsia="es-CR"/>
              </w:rPr>
              <w:t>a.4</w:t>
            </w:r>
            <w:r w:rsidRPr="00BB3499">
              <w:rPr>
                <w:rFonts w:ascii="Arial" w:eastAsia="Arial" w:hAnsi="Arial" w:cs="Arial"/>
                <w:lang w:val="es-CR" w:eastAsia="es-CR"/>
              </w:rPr>
              <w:t xml:space="preserve"> Que proceda de colegio público y para el caso de estudiantes que provengan de colegios ubicados en instituciones u organizaciones que atiendan población en condición de desventaja social, que el Departamento de Admisión y Registro (DAR) mantenga como criterio de selección para esta población su distrito de procedencia, según se especifica en el criterio de Admisión a.5.</w:t>
            </w:r>
          </w:p>
        </w:tc>
      </w:tr>
      <w:tr w:rsidR="00BB3499" w:rsidRPr="00BB3499" w:rsidTr="00AA0D2E">
        <w:trPr>
          <w:jc w:val="center"/>
        </w:trPr>
        <w:tc>
          <w:tcPr>
            <w:tcW w:w="4326" w:type="dxa"/>
          </w:tcPr>
          <w:p w:rsidR="00BB3499" w:rsidRPr="00BB3499" w:rsidRDefault="00BB3499" w:rsidP="00BB3499">
            <w:pPr>
              <w:pBdr>
                <w:top w:val="nil"/>
                <w:left w:val="nil"/>
                <w:bottom w:val="nil"/>
                <w:right w:val="nil"/>
                <w:between w:val="nil"/>
              </w:pBdr>
              <w:ind w:left="708" w:hanging="708"/>
              <w:jc w:val="both"/>
              <w:rPr>
                <w:rFonts w:ascii="ArialMT" w:eastAsia="ArialMT" w:hAnsi="ArialMT" w:cs="ArialMT"/>
                <w:i/>
                <w:color w:val="000000"/>
                <w:lang w:val="es-CR" w:eastAsia="es-CR"/>
              </w:rPr>
            </w:pPr>
            <w:r w:rsidRPr="00BB3499">
              <w:rPr>
                <w:rFonts w:ascii="Arial" w:eastAsia="Arial" w:hAnsi="Arial" w:cs="Arial"/>
                <w:b/>
                <w:color w:val="000000"/>
                <w:lang w:val="es-CR" w:eastAsia="es-CR"/>
              </w:rPr>
              <w:t xml:space="preserve">g. </w:t>
            </w:r>
            <w:r w:rsidRPr="00BB3499">
              <w:rPr>
                <w:rFonts w:ascii="Arial" w:eastAsia="Arial" w:hAnsi="Arial" w:cs="Arial"/>
                <w:color w:val="000000"/>
                <w:lang w:val="es-CR" w:eastAsia="es-CR"/>
              </w:rPr>
              <w:t>Aprobar el porcentaje máximo para los cupos que se asignarán a la Admisión Restringida en un 10% de los cupos aprobados para primer ingreso; a propuesta del Rector, el Consejo Institucional revisará este porcentaje según la evaluación del Programa.</w:t>
            </w:r>
          </w:p>
        </w:tc>
        <w:tc>
          <w:tcPr>
            <w:tcW w:w="4312" w:type="dxa"/>
          </w:tcPr>
          <w:p w:rsidR="00BB3499" w:rsidRPr="00BB3499" w:rsidRDefault="00BB3499" w:rsidP="00BB3499">
            <w:pPr>
              <w:jc w:val="both"/>
              <w:rPr>
                <w:rFonts w:ascii="Arial" w:eastAsia="Arial" w:hAnsi="Arial" w:cs="Arial"/>
                <w:lang w:val="es-CR" w:eastAsia="es-CR"/>
              </w:rPr>
            </w:pPr>
            <w:r w:rsidRPr="00BB3499">
              <w:rPr>
                <w:rFonts w:ascii="Arial" w:eastAsia="Arial" w:hAnsi="Arial" w:cs="Arial"/>
                <w:b/>
                <w:lang w:val="es-CR" w:eastAsia="es-CR"/>
              </w:rPr>
              <w:t>g.</w:t>
            </w:r>
            <w:r w:rsidRPr="00BB3499">
              <w:rPr>
                <w:rFonts w:ascii="Arial" w:eastAsia="Arial" w:hAnsi="Arial" w:cs="Arial"/>
                <w:lang w:val="es-CR" w:eastAsia="es-CR"/>
              </w:rPr>
              <w:t xml:space="preserve"> Aprobar el porcentaje máximo para los cupos que se asignarán a la Admisión Restringida en un 10% de los cupos aprobados para primer ingreso; a propuesta del Rector, el Consejo Institucional revisará este porcentaje según la evaluación del Programa. Adicionalmente y en el caso de carreras que cada año presenten sobredemanda de estudiantes PAR aprobar la ampliación de los cupos a un 15%, para lo cual se ha de considerar que la matrícula total del PAR no sobrepase el 10% de la matrícula total de primer ingreso.</w:t>
            </w:r>
          </w:p>
        </w:tc>
      </w:tr>
    </w:tbl>
    <w:p w:rsidR="00BB3499" w:rsidRPr="00BB3499" w:rsidRDefault="00BB3499" w:rsidP="00BB3499">
      <w:pPr>
        <w:pBdr>
          <w:top w:val="nil"/>
          <w:left w:val="nil"/>
          <w:bottom w:val="nil"/>
          <w:right w:val="nil"/>
          <w:between w:val="nil"/>
        </w:pBdr>
        <w:ind w:left="708" w:hanging="708"/>
        <w:rPr>
          <w:rFonts w:ascii="ArialMT" w:eastAsia="ArialMT" w:hAnsi="ArialMT" w:cs="ArialMT"/>
          <w:i/>
          <w:color w:val="000000"/>
          <w:sz w:val="20"/>
          <w:szCs w:val="20"/>
          <w:lang w:val="es-CR" w:eastAsia="es-CR"/>
        </w:rPr>
      </w:pPr>
    </w:p>
    <w:p w:rsidR="00BB3499" w:rsidRPr="00BB3499" w:rsidRDefault="00BB3499" w:rsidP="00BB3499">
      <w:pPr>
        <w:pBdr>
          <w:top w:val="nil"/>
          <w:left w:val="nil"/>
          <w:bottom w:val="nil"/>
          <w:right w:val="nil"/>
          <w:between w:val="nil"/>
        </w:pBdr>
        <w:ind w:left="360" w:hanging="708"/>
        <w:jc w:val="both"/>
        <w:rPr>
          <w:rFonts w:ascii="ArialMT" w:eastAsia="ArialMT" w:hAnsi="ArialMT" w:cs="ArialMT"/>
          <w:i/>
          <w:color w:val="000000"/>
          <w:sz w:val="20"/>
          <w:szCs w:val="20"/>
          <w:lang w:val="es-CR" w:eastAsia="es-CR"/>
        </w:rPr>
      </w:pPr>
    </w:p>
    <w:p w:rsidR="00BB3499" w:rsidRPr="00BB3499" w:rsidRDefault="00BB3499" w:rsidP="002273E1">
      <w:pPr>
        <w:numPr>
          <w:ilvl w:val="0"/>
          <w:numId w:val="8"/>
        </w:numPr>
        <w:pBdr>
          <w:top w:val="nil"/>
          <w:left w:val="nil"/>
          <w:bottom w:val="nil"/>
          <w:right w:val="nil"/>
          <w:between w:val="nil"/>
        </w:pBdr>
        <w:ind w:left="390" w:right="281" w:hanging="426"/>
        <w:jc w:val="both"/>
        <w:rPr>
          <w:color w:val="000000"/>
          <w:sz w:val="20"/>
          <w:szCs w:val="20"/>
          <w:lang w:val="es-CR" w:eastAsia="es-CR"/>
        </w:rPr>
      </w:pPr>
      <w:r w:rsidRPr="00BB3499">
        <w:rPr>
          <w:rFonts w:ascii="Arial" w:eastAsia="Arial" w:hAnsi="Arial" w:cs="Arial"/>
          <w:color w:val="000000"/>
          <w:lang w:val="es-CR" w:eastAsia="es-CR"/>
        </w:rPr>
        <w:t>Atendiendo el fundamento de la Vicerrectoría de Vida Estudiantil y Servicios Académicos, se identifican candidatos para ingresar al Programa, que califican en todos los criterios preestablecidos, pero el cupo de 10% resulta insuficiente para algunas carreras, sin que esto implique un</w:t>
      </w:r>
      <w:r w:rsidRPr="00BB3499">
        <w:rPr>
          <w:rFonts w:ascii="Arial" w:eastAsia="Arial" w:hAnsi="Arial" w:cs="Arial"/>
          <w:lang w:val="es-CR" w:eastAsia="es-CR"/>
        </w:rPr>
        <w:t xml:space="preserve"> incremento del total de estudiantes de primer ingreso establecido</w:t>
      </w:r>
      <w:r w:rsidRPr="00BB3499">
        <w:rPr>
          <w:rFonts w:ascii="Arial" w:eastAsia="Arial" w:hAnsi="Arial" w:cs="Arial"/>
          <w:color w:val="000000"/>
          <w:lang w:val="es-CR" w:eastAsia="es-CR"/>
        </w:rPr>
        <w:t xml:space="preserve">. Por otro lado, se requieren lineamientos para atender candidatos provenientes de colegios auspiciados por organizaciones de bien social.   </w:t>
      </w:r>
    </w:p>
    <w:p w:rsidR="00BB3499" w:rsidRPr="00BB3499" w:rsidRDefault="00BB3499" w:rsidP="00BB3499">
      <w:pPr>
        <w:pBdr>
          <w:top w:val="nil"/>
          <w:left w:val="nil"/>
          <w:bottom w:val="nil"/>
          <w:right w:val="nil"/>
          <w:between w:val="nil"/>
        </w:pBdr>
        <w:ind w:left="360" w:hanging="708"/>
        <w:jc w:val="both"/>
        <w:rPr>
          <w:rFonts w:ascii="Arial" w:eastAsia="Arial" w:hAnsi="Arial" w:cs="Arial"/>
          <w:color w:val="000000"/>
          <w:lang w:val="es-CR" w:eastAsia="es-CR"/>
        </w:rPr>
      </w:pPr>
    </w:p>
    <w:p w:rsidR="00BB3499" w:rsidRPr="00BB3499" w:rsidRDefault="00BB3499" w:rsidP="002273E1">
      <w:pPr>
        <w:numPr>
          <w:ilvl w:val="0"/>
          <w:numId w:val="8"/>
        </w:numPr>
        <w:pBdr>
          <w:top w:val="nil"/>
          <w:left w:val="nil"/>
          <w:bottom w:val="nil"/>
          <w:right w:val="nil"/>
          <w:between w:val="nil"/>
        </w:pBdr>
        <w:ind w:left="390" w:right="281" w:hanging="426"/>
        <w:jc w:val="both"/>
        <w:rPr>
          <w:color w:val="000000"/>
          <w:sz w:val="20"/>
          <w:szCs w:val="20"/>
          <w:lang w:val="es-CR" w:eastAsia="es-CR"/>
        </w:rPr>
      </w:pPr>
      <w:r w:rsidRPr="00BB3499">
        <w:rPr>
          <w:rFonts w:ascii="Arial" w:eastAsia="Arial" w:hAnsi="Arial" w:cs="Arial"/>
          <w:color w:val="000000"/>
          <w:lang w:val="es-CR" w:eastAsia="es-CR"/>
        </w:rPr>
        <w:lastRenderedPageBreak/>
        <w:t xml:space="preserve">La Comisión </w:t>
      </w:r>
      <w:r w:rsidRPr="00BB3499">
        <w:rPr>
          <w:rFonts w:ascii="Arial" w:eastAsia="Arial" w:hAnsi="Arial" w:cs="Arial"/>
          <w:lang w:val="es-CR" w:eastAsia="es-CR"/>
        </w:rPr>
        <w:t xml:space="preserve">de Asuntos Académicos y Estudiantiles </w:t>
      </w:r>
      <w:r w:rsidRPr="00BB3499">
        <w:rPr>
          <w:rFonts w:ascii="Arial" w:eastAsia="Arial" w:hAnsi="Arial" w:cs="Arial"/>
          <w:color w:val="000000"/>
          <w:lang w:val="es-CR" w:eastAsia="es-CR"/>
        </w:rPr>
        <w:t>coincide en la pertinencia de la modificación propuesta, misma que incidirá en la reducción de brechas y la redistribución de las oportunidades de ingreso a la educación superior, favoreciendo a sectores sociales que tienen menor acceso a los beneficios del desarrollo</w:t>
      </w:r>
      <w:r w:rsidRPr="00BB3499">
        <w:rPr>
          <w:rFonts w:ascii="Arial" w:eastAsia="Arial" w:hAnsi="Arial" w:cs="Arial"/>
          <w:lang w:val="es-CR" w:eastAsia="es-CR"/>
        </w:rPr>
        <w:t>. Además, la propuesta</w:t>
      </w:r>
      <w:r w:rsidRPr="00BB3499">
        <w:rPr>
          <w:rFonts w:ascii="Arial" w:eastAsia="Arial" w:hAnsi="Arial" w:cs="Arial"/>
          <w:color w:val="000000"/>
          <w:lang w:val="es-CR" w:eastAsia="es-CR"/>
        </w:rPr>
        <w:t xml:space="preserve"> se encuentra a tono con las políticas institucionales.</w:t>
      </w:r>
    </w:p>
    <w:p w:rsidR="00BB3499" w:rsidRPr="00BB3499" w:rsidRDefault="00BB3499" w:rsidP="00BB3499">
      <w:pPr>
        <w:pBdr>
          <w:top w:val="nil"/>
          <w:left w:val="nil"/>
          <w:bottom w:val="nil"/>
          <w:right w:val="nil"/>
          <w:between w:val="nil"/>
        </w:pBdr>
        <w:ind w:left="708" w:hanging="708"/>
        <w:rPr>
          <w:color w:val="000000"/>
          <w:lang w:val="es-CR" w:eastAsia="es-CR"/>
        </w:rPr>
      </w:pPr>
    </w:p>
    <w:p w:rsidR="00BB3499" w:rsidRPr="00BB3499" w:rsidRDefault="00BB3499" w:rsidP="002273E1">
      <w:pPr>
        <w:numPr>
          <w:ilvl w:val="0"/>
          <w:numId w:val="8"/>
        </w:numPr>
        <w:pBdr>
          <w:top w:val="nil"/>
          <w:left w:val="nil"/>
          <w:bottom w:val="nil"/>
          <w:right w:val="nil"/>
          <w:between w:val="nil"/>
        </w:pBdr>
        <w:ind w:left="390" w:right="281" w:hanging="426"/>
        <w:jc w:val="both"/>
        <w:rPr>
          <w:color w:val="000000"/>
          <w:sz w:val="20"/>
          <w:szCs w:val="20"/>
          <w:lang w:val="es-CR" w:eastAsia="es-CR"/>
        </w:rPr>
      </w:pPr>
      <w:bookmarkStart w:id="1" w:name="_30j0zll" w:colFirst="0" w:colLast="0"/>
      <w:bookmarkEnd w:id="1"/>
      <w:r w:rsidRPr="00BB3499">
        <w:rPr>
          <w:rFonts w:ascii="Arial" w:eastAsia="Arial" w:hAnsi="Arial" w:cs="Arial"/>
          <w:color w:val="000000"/>
          <w:lang w:val="es-CR" w:eastAsia="es-CR"/>
        </w:rPr>
        <w:t xml:space="preserve">En la reunión No. 634, la Comisión </w:t>
      </w:r>
      <w:r w:rsidRPr="00BB3499">
        <w:rPr>
          <w:rFonts w:ascii="Arial" w:eastAsia="Arial" w:hAnsi="Arial" w:cs="Arial"/>
          <w:lang w:val="es-CR" w:eastAsia="es-CR"/>
        </w:rPr>
        <w:t xml:space="preserve">de Asuntos Académicos y Estudiantiles </w:t>
      </w:r>
      <w:r w:rsidRPr="00BB3499">
        <w:rPr>
          <w:rFonts w:ascii="Arial" w:eastAsia="Arial" w:hAnsi="Arial" w:cs="Arial"/>
          <w:color w:val="000000"/>
          <w:lang w:val="es-CR" w:eastAsia="es-CR"/>
        </w:rPr>
        <w:t xml:space="preserve">dispone que </w:t>
      </w:r>
      <w:r w:rsidRPr="00BB3499">
        <w:rPr>
          <w:rFonts w:ascii="Arial" w:eastAsia="Arial" w:hAnsi="Arial" w:cs="Arial"/>
          <w:lang w:val="es-CR" w:eastAsia="es-CR"/>
        </w:rPr>
        <w:t xml:space="preserve">es conveniente someter la propuesta a consulta de la Comunidad Institucional, durante </w:t>
      </w:r>
      <w:r w:rsidRPr="00BB3499">
        <w:rPr>
          <w:rFonts w:ascii="Arial" w:eastAsia="Arial" w:hAnsi="Arial" w:cs="Arial"/>
          <w:color w:val="000000"/>
          <w:lang w:val="es-CR" w:eastAsia="es-CR"/>
        </w:rPr>
        <w:t>30 días hábiles.</w:t>
      </w:r>
    </w:p>
    <w:p w:rsidR="00BB3499" w:rsidRPr="00BB3499" w:rsidRDefault="00BB3499" w:rsidP="00BB3499">
      <w:pPr>
        <w:pBdr>
          <w:top w:val="nil"/>
          <w:left w:val="nil"/>
          <w:bottom w:val="nil"/>
          <w:right w:val="nil"/>
          <w:between w:val="nil"/>
        </w:pBdr>
        <w:jc w:val="both"/>
        <w:rPr>
          <w:rFonts w:ascii="Arial" w:eastAsia="Arial" w:hAnsi="Arial" w:cs="Arial"/>
          <w:color w:val="000000"/>
          <w:lang w:val="es-CR" w:eastAsia="es-CR"/>
        </w:rPr>
      </w:pPr>
    </w:p>
    <w:p w:rsidR="00BB3499" w:rsidRPr="00BB3499" w:rsidRDefault="00BB3499" w:rsidP="00BB3499">
      <w:pPr>
        <w:pBdr>
          <w:top w:val="nil"/>
          <w:left w:val="nil"/>
          <w:bottom w:val="nil"/>
          <w:right w:val="nil"/>
          <w:between w:val="nil"/>
        </w:pBdr>
        <w:jc w:val="both"/>
        <w:rPr>
          <w:rFonts w:ascii="Arial" w:eastAsia="Arial" w:hAnsi="Arial" w:cs="Arial"/>
          <w:b/>
          <w:color w:val="000000"/>
          <w:lang w:val="es-CR" w:eastAsia="es-CR"/>
        </w:rPr>
      </w:pPr>
      <w:r w:rsidRPr="00BB3499">
        <w:rPr>
          <w:rFonts w:ascii="Arial" w:eastAsia="Arial" w:hAnsi="Arial" w:cs="Arial"/>
          <w:b/>
          <w:color w:val="000000"/>
          <w:lang w:val="es-CR" w:eastAsia="es-CR"/>
        </w:rPr>
        <w:t>SE</w:t>
      </w:r>
      <w:r>
        <w:rPr>
          <w:rFonts w:ascii="Arial" w:eastAsia="Arial" w:hAnsi="Arial" w:cs="Arial"/>
          <w:b/>
          <w:color w:val="000000"/>
          <w:lang w:val="es-CR" w:eastAsia="es-CR"/>
        </w:rPr>
        <w:t xml:space="preserve"> ACUERDA</w:t>
      </w:r>
      <w:r w:rsidRPr="00BB3499">
        <w:rPr>
          <w:rFonts w:ascii="Arial" w:eastAsia="Arial" w:hAnsi="Arial" w:cs="Arial"/>
          <w:b/>
          <w:color w:val="000000"/>
          <w:lang w:val="es-CR" w:eastAsia="es-CR"/>
        </w:rPr>
        <w:t>:</w:t>
      </w:r>
    </w:p>
    <w:p w:rsidR="00BB3499" w:rsidRPr="00BB3499" w:rsidRDefault="00BB3499" w:rsidP="00BB3499">
      <w:pPr>
        <w:pBdr>
          <w:top w:val="nil"/>
          <w:left w:val="nil"/>
          <w:bottom w:val="nil"/>
          <w:right w:val="nil"/>
          <w:between w:val="nil"/>
        </w:pBdr>
        <w:ind w:hanging="283"/>
        <w:jc w:val="both"/>
        <w:rPr>
          <w:rFonts w:ascii="Arial" w:eastAsia="Arial" w:hAnsi="Arial" w:cs="Arial"/>
          <w:b/>
          <w:color w:val="000000"/>
          <w:lang w:val="es-CR" w:eastAsia="es-CR"/>
        </w:rPr>
      </w:pPr>
    </w:p>
    <w:p w:rsidR="00BB3499" w:rsidRPr="00BB3499" w:rsidRDefault="00BB3499" w:rsidP="002273E1">
      <w:pPr>
        <w:numPr>
          <w:ilvl w:val="0"/>
          <w:numId w:val="6"/>
        </w:numPr>
        <w:jc w:val="both"/>
        <w:rPr>
          <w:rFonts w:ascii="Arial" w:eastAsia="Arial" w:hAnsi="Arial" w:cs="Arial"/>
          <w:lang w:val="es-CR" w:eastAsia="es-CR"/>
        </w:rPr>
      </w:pPr>
      <w:r w:rsidRPr="00BB3499">
        <w:rPr>
          <w:rFonts w:ascii="Arial" w:eastAsia="Arial" w:hAnsi="Arial" w:cs="Arial"/>
          <w:lang w:val="es-CR" w:eastAsia="es-CR"/>
        </w:rPr>
        <w:t>Someter a consulta de la Comunidad Institucional por un plazo de 30 días hábiles, la propuesta de modificación de los criterios de admisión a.4 y g. del Programa de Atracción, Selección, Admis</w:t>
      </w:r>
      <w:bookmarkStart w:id="2" w:name="_GoBack"/>
      <w:bookmarkEnd w:id="2"/>
      <w:r w:rsidRPr="00BB3499">
        <w:rPr>
          <w:rFonts w:ascii="Arial" w:eastAsia="Arial" w:hAnsi="Arial" w:cs="Arial"/>
          <w:lang w:val="es-CR" w:eastAsia="es-CR"/>
        </w:rPr>
        <w:t>ión y Permanencia con Equidad en el ITCR (PAR), avalados en Sesión Ordinaria No. 2945, Artículo 11, del 28 de octubre de 2015, según se detalla:</w:t>
      </w:r>
    </w:p>
    <w:p w:rsidR="00BB3499" w:rsidRPr="00BB3499" w:rsidRDefault="00BB3499" w:rsidP="00BB3499">
      <w:pPr>
        <w:ind w:left="720"/>
        <w:jc w:val="both"/>
        <w:rPr>
          <w:rFonts w:ascii="Arial" w:eastAsia="Arial" w:hAnsi="Arial" w:cs="Arial"/>
          <w:lang w:val="es-CR" w:eastAsia="es-CR"/>
        </w:rPr>
      </w:pPr>
    </w:p>
    <w:tbl>
      <w:tblPr>
        <w:tblW w:w="7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4"/>
      </w:tblGrid>
      <w:tr w:rsidR="00BB3499" w:rsidRPr="00BB3499" w:rsidTr="00AA0D2E">
        <w:trPr>
          <w:jc w:val="center"/>
        </w:trPr>
        <w:tc>
          <w:tcPr>
            <w:tcW w:w="7514" w:type="dxa"/>
            <w:shd w:val="clear" w:color="auto" w:fill="BFBFBF"/>
          </w:tcPr>
          <w:p w:rsidR="00BB3499" w:rsidRPr="00BB3499" w:rsidRDefault="00BB3499" w:rsidP="00BB3499">
            <w:pPr>
              <w:pBdr>
                <w:top w:val="nil"/>
                <w:left w:val="nil"/>
                <w:bottom w:val="nil"/>
                <w:right w:val="nil"/>
                <w:between w:val="nil"/>
              </w:pBdr>
              <w:ind w:left="360" w:hanging="708"/>
              <w:jc w:val="center"/>
              <w:rPr>
                <w:rFonts w:ascii="Arial" w:eastAsia="Arial" w:hAnsi="Arial" w:cs="Arial"/>
                <w:b/>
                <w:color w:val="000000"/>
                <w:lang w:val="es-CR" w:eastAsia="es-CR"/>
              </w:rPr>
            </w:pPr>
            <w:r w:rsidRPr="00BB3499">
              <w:rPr>
                <w:rFonts w:ascii="Arial" w:eastAsia="Arial" w:hAnsi="Arial" w:cs="Arial"/>
                <w:b/>
                <w:color w:val="000000"/>
                <w:lang w:val="es-CR" w:eastAsia="es-CR"/>
              </w:rPr>
              <w:t>PROPUESTA</w:t>
            </w:r>
          </w:p>
        </w:tc>
      </w:tr>
      <w:tr w:rsidR="00BB3499" w:rsidRPr="00BB3499" w:rsidTr="00AA0D2E">
        <w:trPr>
          <w:jc w:val="center"/>
        </w:trPr>
        <w:tc>
          <w:tcPr>
            <w:tcW w:w="7514" w:type="dxa"/>
          </w:tcPr>
          <w:p w:rsidR="00BB3499" w:rsidRPr="00BB3499" w:rsidRDefault="00BB3499" w:rsidP="002273E1">
            <w:pPr>
              <w:numPr>
                <w:ilvl w:val="0"/>
                <w:numId w:val="7"/>
              </w:numPr>
              <w:pBdr>
                <w:top w:val="nil"/>
                <w:left w:val="nil"/>
                <w:bottom w:val="nil"/>
                <w:right w:val="nil"/>
                <w:between w:val="nil"/>
              </w:pBdr>
              <w:rPr>
                <w:rFonts w:ascii="Arial" w:eastAsia="Arial" w:hAnsi="Arial" w:cs="Arial"/>
                <w:color w:val="000000"/>
                <w:lang w:val="es-CR" w:eastAsia="es-CR"/>
              </w:rPr>
            </w:pPr>
            <w:r w:rsidRPr="00BB3499">
              <w:rPr>
                <w:rFonts w:ascii="Arial" w:eastAsia="Arial" w:hAnsi="Arial" w:cs="Arial"/>
                <w:color w:val="000000"/>
                <w:lang w:val="es-CR" w:eastAsia="es-CR"/>
              </w:rPr>
              <w:t>Los criterios de admisión son:</w:t>
            </w:r>
          </w:p>
        </w:tc>
      </w:tr>
      <w:tr w:rsidR="00BB3499" w:rsidRPr="00BB3499" w:rsidTr="00AA0D2E">
        <w:trPr>
          <w:jc w:val="center"/>
        </w:trPr>
        <w:tc>
          <w:tcPr>
            <w:tcW w:w="7514" w:type="dxa"/>
          </w:tcPr>
          <w:p w:rsidR="00BB3499" w:rsidRPr="00BB3499" w:rsidRDefault="00BB3499" w:rsidP="00BB3499">
            <w:pPr>
              <w:jc w:val="both"/>
              <w:rPr>
                <w:rFonts w:ascii="Arial" w:eastAsia="Arial" w:hAnsi="Arial" w:cs="Arial"/>
                <w:lang w:val="es-CR" w:eastAsia="es-CR"/>
              </w:rPr>
            </w:pPr>
            <w:r w:rsidRPr="00BB3499">
              <w:rPr>
                <w:rFonts w:ascii="Arial" w:eastAsia="Arial" w:hAnsi="Arial" w:cs="Arial"/>
                <w:b/>
                <w:lang w:val="es-CR" w:eastAsia="es-CR"/>
              </w:rPr>
              <w:t>a.4</w:t>
            </w:r>
            <w:r w:rsidRPr="00BB3499">
              <w:rPr>
                <w:rFonts w:ascii="Arial" w:eastAsia="Arial" w:hAnsi="Arial" w:cs="Arial"/>
                <w:lang w:val="es-CR" w:eastAsia="es-CR"/>
              </w:rPr>
              <w:t xml:space="preserve"> Que proceda de colegio público y para el caso de estudiantes que provengan de colegios ubicados en instituciones u organizaciones que atiendan población en condición de desventaja social, que el Departamento de Admisión y Registro (DAR) mantenga como criterio de selección para esta población su distrito de procedencia, según se especifica en el criterio de Admisión a.5.</w:t>
            </w:r>
          </w:p>
        </w:tc>
      </w:tr>
      <w:tr w:rsidR="00BB3499" w:rsidRPr="00BB3499" w:rsidTr="00AA0D2E">
        <w:trPr>
          <w:jc w:val="center"/>
        </w:trPr>
        <w:tc>
          <w:tcPr>
            <w:tcW w:w="7514" w:type="dxa"/>
          </w:tcPr>
          <w:p w:rsidR="00BB3499" w:rsidRPr="00BB3499" w:rsidRDefault="00BB3499" w:rsidP="00BB3499">
            <w:pPr>
              <w:jc w:val="both"/>
              <w:rPr>
                <w:rFonts w:ascii="Arial" w:eastAsia="Arial" w:hAnsi="Arial" w:cs="Arial"/>
                <w:lang w:val="es-CR" w:eastAsia="es-CR"/>
              </w:rPr>
            </w:pPr>
            <w:r w:rsidRPr="00BB3499">
              <w:rPr>
                <w:rFonts w:ascii="Arial" w:eastAsia="Arial" w:hAnsi="Arial" w:cs="Arial"/>
                <w:b/>
                <w:lang w:val="es-CR" w:eastAsia="es-CR"/>
              </w:rPr>
              <w:t>g.</w:t>
            </w:r>
            <w:r w:rsidRPr="00BB3499">
              <w:rPr>
                <w:rFonts w:ascii="Arial" w:eastAsia="Arial" w:hAnsi="Arial" w:cs="Arial"/>
                <w:lang w:val="es-CR" w:eastAsia="es-CR"/>
              </w:rPr>
              <w:t xml:space="preserve"> Aprobar el porcentaje máximo para los cupos que se asignarán a la Admisión Restringida en un 10% de los cupos aprobados para primer ingreso; a propuesta del Rector, el Consejo Institucional revisará este porcentaje según la evaluación del Programa. Adicionalmente y en el caso de carreras que cada año presenten sobredemanda de estudiantes PAR aprobar la ampliación de los cupos a un 15%, para lo cual se ha de considerar que la matrícula total del PAR no sobrepase el 10% de la matrícula total de primer ingreso.</w:t>
            </w:r>
          </w:p>
        </w:tc>
      </w:tr>
    </w:tbl>
    <w:p w:rsidR="00661A8B" w:rsidRDefault="00661A8B" w:rsidP="007742A1">
      <w:pPr>
        <w:jc w:val="both"/>
        <w:rPr>
          <w:rFonts w:ascii="Arial" w:eastAsia="Cambria" w:hAnsi="Arial" w:cs="Arial"/>
          <w:lang w:val="es-ES_tradnl" w:eastAsia="en-US"/>
        </w:rPr>
      </w:pPr>
    </w:p>
    <w:p w:rsidR="00917157" w:rsidRPr="00661A8B" w:rsidRDefault="000E564F" w:rsidP="002273E1">
      <w:pPr>
        <w:numPr>
          <w:ilvl w:val="0"/>
          <w:numId w:val="6"/>
        </w:numPr>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61A8B" w:rsidRDefault="00661A8B" w:rsidP="00661A8B">
      <w:pPr>
        <w:ind w:right="-91"/>
        <w:jc w:val="both"/>
        <w:rPr>
          <w:rFonts w:ascii="Arial" w:hAnsi="Arial" w:cs="Arial"/>
          <w:b/>
          <w:lang w:val="es-CR"/>
        </w:rPr>
      </w:pPr>
    </w:p>
    <w:p w:rsidR="00BB3499" w:rsidRPr="00BB3499" w:rsidRDefault="00BB3499" w:rsidP="00BB3499">
      <w:pPr>
        <w:rPr>
          <w:rFonts w:ascii="Arial" w:eastAsia="Arial" w:hAnsi="Arial" w:cs="Arial"/>
          <w:b/>
          <w:sz w:val="22"/>
          <w:szCs w:val="22"/>
          <w:lang w:val="es-CR" w:eastAsia="es-CR"/>
        </w:rPr>
      </w:pPr>
      <w:r w:rsidRPr="00BB3499">
        <w:rPr>
          <w:rFonts w:ascii="Arial" w:eastAsia="Arial" w:hAnsi="Arial" w:cs="Arial"/>
          <w:b/>
          <w:sz w:val="22"/>
          <w:szCs w:val="22"/>
          <w:lang w:val="es-CR" w:eastAsia="es-CR"/>
        </w:rPr>
        <w:t>Palabras Clave:  Consulta – Comunidad Institucional – PAR – Restringida</w:t>
      </w:r>
    </w:p>
    <w:p w:rsidR="00BB3499" w:rsidRPr="00BB3499" w:rsidRDefault="00BB3499" w:rsidP="00BB3499">
      <w:pPr>
        <w:jc w:val="both"/>
        <w:rPr>
          <w:rFonts w:ascii="Arial" w:eastAsia="Arial" w:hAnsi="Arial" w:cs="Arial"/>
          <w:b/>
          <w:sz w:val="20"/>
          <w:szCs w:val="20"/>
          <w:lang w:val="es-CR" w:eastAsia="es-CR"/>
        </w:rPr>
      </w:pPr>
    </w:p>
    <w:p w:rsidR="00661A8B" w:rsidRPr="00BB3499" w:rsidRDefault="00661A8B" w:rsidP="00661A8B">
      <w:pPr>
        <w:rPr>
          <w:rFonts w:ascii="Arial" w:hAnsi="Arial" w:cs="Arial"/>
          <w:b/>
          <w:sz w:val="18"/>
          <w:szCs w:val="18"/>
          <w:lang w:val="es-CR"/>
        </w:rPr>
      </w:pP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E1" w:rsidRDefault="002273E1">
      <w:r>
        <w:separator/>
      </w:r>
    </w:p>
  </w:endnote>
  <w:endnote w:type="continuationSeparator" w:id="0">
    <w:p w:rsidR="002273E1" w:rsidRDefault="0022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E1" w:rsidRDefault="002273E1">
      <w:r>
        <w:separator/>
      </w:r>
    </w:p>
  </w:footnote>
  <w:footnote w:type="continuationSeparator" w:id="0">
    <w:p w:rsidR="002273E1" w:rsidRDefault="0022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310AFA">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310AFA">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10AFA">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956F68">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B3499">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2683D"/>
    <w:multiLevelType w:val="multilevel"/>
    <w:tmpl w:val="905EFF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D477F05"/>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73C21"/>
    <w:multiLevelType w:val="multilevel"/>
    <w:tmpl w:val="E1D096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015EA7"/>
    <w:multiLevelType w:val="multilevel"/>
    <w:tmpl w:val="0C1A9F26"/>
    <w:lvl w:ilvl="0">
      <w:start w:val="1"/>
      <w:numFmt w:val="lowerLetter"/>
      <w:lvlText w:val="%1."/>
      <w:lvlJc w:val="left"/>
      <w:pPr>
        <w:ind w:left="360" w:hanging="360"/>
      </w:pPr>
      <w:rPr>
        <w:b/>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983839"/>
    <w:multiLevelType w:val="multilevel"/>
    <w:tmpl w:val="3E5CC6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29A5D76"/>
    <w:multiLevelType w:val="multilevel"/>
    <w:tmpl w:val="8CD403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3E1"/>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0AFA"/>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B4CF8"/>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5725"/>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3499"/>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D043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5E6C-C050-4A1D-A66C-F89A82A3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4</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161</cp:revision>
  <cp:lastPrinted>2019-07-24T20:28:00Z</cp:lastPrinted>
  <dcterms:created xsi:type="dcterms:W3CDTF">2018-05-02T21:37:00Z</dcterms:created>
  <dcterms:modified xsi:type="dcterms:W3CDTF">2019-07-31T20:16:00Z</dcterms:modified>
</cp:coreProperties>
</file>