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85725">
        <w:rPr>
          <w:rFonts w:ascii="Arial" w:hAnsi="Arial" w:cs="Arial"/>
          <w:b/>
          <w:bCs/>
          <w:iCs/>
          <w:sz w:val="26"/>
          <w:szCs w:val="22"/>
          <w:lang w:val="es-CR"/>
        </w:rPr>
        <w:t>759</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256C13" w:rsidRPr="00771F15"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r>
              <w:rPr>
                <w:rFonts w:ascii="Arial" w:eastAsia="Cambria" w:hAnsi="Arial" w:cs="Arial"/>
                <w:sz w:val="22"/>
                <w:szCs w:val="22"/>
                <w:lang w:val="es-ES_tradnl" w:eastAsia="en-US"/>
              </w:rPr>
              <w:t>y Presidenta Consejo Docencia</w:t>
            </w:r>
          </w:p>
          <w:p w:rsidR="00256C13" w:rsidRPr="00771F15" w:rsidRDefault="00256C13" w:rsidP="00256C1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256C13" w:rsidRPr="00771F15"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256C13" w:rsidRPr="00771F15"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256C13"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2272D8" w:rsidRDefault="002272D8"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B12317" w:rsidRPr="00256C13" w:rsidRDefault="00B12317" w:rsidP="00735B4A">
            <w:pPr>
              <w:autoSpaceDE w:val="0"/>
              <w:autoSpaceDN w:val="0"/>
              <w:adjustRightInd w:val="0"/>
              <w:ind w:right="-91"/>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B536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A787F">
              <w:rPr>
                <w:rFonts w:ascii="Arial" w:eastAsia="Cambria" w:hAnsi="Arial" w:cs="Arial"/>
                <w:b/>
                <w:sz w:val="22"/>
                <w:szCs w:val="22"/>
                <w:lang w:val="es-ES_tradnl" w:eastAsia="en-US"/>
              </w:rPr>
              <w:t>agosto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4B5364">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0A787F">
              <w:rPr>
                <w:rFonts w:ascii="Arial" w:eastAsia="Calibri" w:hAnsi="Arial" w:cs="Arial"/>
                <w:b/>
                <w:sz w:val="22"/>
                <w:szCs w:val="22"/>
              </w:rPr>
              <w:t>3</w:t>
            </w:r>
            <w:r w:rsidR="004B5364">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84085F">
              <w:rPr>
                <w:rFonts w:ascii="Arial" w:eastAsia="Calibri" w:hAnsi="Arial" w:cs="Arial"/>
                <w:b/>
                <w:sz w:val="22"/>
                <w:szCs w:val="22"/>
              </w:rPr>
              <w:t>8</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4B5364">
              <w:rPr>
                <w:rFonts w:ascii="Arial" w:eastAsia="Calibri" w:hAnsi="Arial" w:cs="Arial"/>
                <w:b/>
                <w:sz w:val="22"/>
                <w:szCs w:val="22"/>
              </w:rPr>
              <w:t>21</w:t>
            </w:r>
            <w:r w:rsidR="005A7222">
              <w:rPr>
                <w:rFonts w:ascii="Arial" w:eastAsia="Calibri" w:hAnsi="Arial" w:cs="Arial"/>
                <w:b/>
                <w:sz w:val="22"/>
                <w:szCs w:val="22"/>
              </w:rPr>
              <w:t xml:space="preserve"> de</w:t>
            </w:r>
            <w:r w:rsidR="000A787F">
              <w:rPr>
                <w:rFonts w:ascii="Arial" w:eastAsia="Calibri" w:hAnsi="Arial" w:cs="Arial"/>
                <w:b/>
                <w:sz w:val="22"/>
                <w:szCs w:val="22"/>
              </w:rPr>
              <w:t xml:space="preserve"> agosto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35B4A" w:rsidRPr="00735B4A">
              <w:rPr>
                <w:rFonts w:ascii="Arial" w:eastAsia="Cambria" w:hAnsi="Arial" w:cs="Arial"/>
                <w:b/>
                <w:bCs/>
                <w:sz w:val="22"/>
                <w:szCs w:val="22"/>
                <w:lang w:val="es-CR" w:eastAsia="en-US"/>
              </w:rPr>
              <w:t>Consulta a la Comunidad Institucional</w:t>
            </w:r>
            <w:r w:rsidR="00885725">
              <w:rPr>
                <w:rFonts w:ascii="Arial" w:eastAsia="Cambria" w:hAnsi="Arial" w:cs="Arial"/>
                <w:b/>
                <w:bCs/>
                <w:sz w:val="22"/>
                <w:szCs w:val="22"/>
                <w:lang w:val="es-CR" w:eastAsia="en-US"/>
              </w:rPr>
              <w:t>, en general</w:t>
            </w:r>
            <w:r w:rsidR="00735B4A" w:rsidRPr="00735B4A">
              <w:rPr>
                <w:rFonts w:ascii="Arial" w:eastAsia="Cambria" w:hAnsi="Arial" w:cs="Arial"/>
                <w:b/>
                <w:bCs/>
                <w:sz w:val="22"/>
                <w:szCs w:val="22"/>
                <w:lang w:val="es-CR" w:eastAsia="en-US"/>
              </w:rPr>
              <w:t xml:space="preserve"> y al Consejo de Docencia</w:t>
            </w:r>
            <w:r w:rsidR="00885725">
              <w:rPr>
                <w:rFonts w:ascii="Arial" w:eastAsia="Cambria" w:hAnsi="Arial" w:cs="Arial"/>
                <w:b/>
                <w:bCs/>
                <w:sz w:val="22"/>
                <w:szCs w:val="22"/>
                <w:lang w:val="es-CR" w:eastAsia="en-US"/>
              </w:rPr>
              <w:t>, en particular,</w:t>
            </w:r>
            <w:r w:rsidR="00735B4A" w:rsidRPr="00735B4A">
              <w:rPr>
                <w:rFonts w:ascii="Arial" w:eastAsia="Cambria" w:hAnsi="Arial" w:cs="Arial"/>
                <w:b/>
                <w:bCs/>
                <w:sz w:val="22"/>
                <w:szCs w:val="22"/>
                <w:lang w:val="es-CR" w:eastAsia="en-US"/>
              </w:rPr>
              <w:t xml:space="preserve"> </w:t>
            </w:r>
            <w:r w:rsidR="004B5364" w:rsidRPr="004B5364">
              <w:rPr>
                <w:rFonts w:ascii="Arial" w:hAnsi="Arial" w:cs="Arial"/>
                <w:b/>
                <w:sz w:val="22"/>
                <w:szCs w:val="22"/>
              </w:rPr>
              <w:t>sobre la inclusión de un artículo 77 BIS, en el Reglamento del Régimen de Enseñanza-Aprendizaje del Instituto Tecnológico de Costa Rica, para crear una licencia para las y los estudiantes que enfrenten la muerte de un familiar o de su conyugue o compañero(a)</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841D4" w:rsidRDefault="008841D4" w:rsidP="00885725">
      <w:pPr>
        <w:tabs>
          <w:tab w:val="left" w:pos="3070"/>
        </w:tabs>
        <w:contextualSpacing/>
        <w:jc w:val="both"/>
        <w:outlineLvl w:val="0"/>
        <w:rPr>
          <w:rFonts w:ascii="Arial" w:eastAsia="Cambria" w:hAnsi="Arial" w:cs="Arial"/>
          <w:b/>
          <w:color w:val="000000"/>
          <w:lang w:val="es-ES_tradnl" w:eastAsia="en-US"/>
        </w:rPr>
      </w:pPr>
    </w:p>
    <w:p w:rsidR="00885725" w:rsidRPr="00885725" w:rsidRDefault="00885725" w:rsidP="00885725">
      <w:pPr>
        <w:tabs>
          <w:tab w:val="left" w:pos="3070"/>
        </w:tabs>
        <w:contextualSpacing/>
        <w:jc w:val="both"/>
        <w:outlineLvl w:val="0"/>
        <w:rPr>
          <w:rFonts w:ascii="Arial" w:eastAsia="Cambria" w:hAnsi="Arial" w:cs="Arial"/>
          <w:b/>
          <w:color w:val="000000"/>
          <w:lang w:val="es-ES_tradnl" w:eastAsia="en-US"/>
        </w:rPr>
      </w:pPr>
      <w:bookmarkStart w:id="0" w:name="_GoBack"/>
      <w:bookmarkEnd w:id="0"/>
      <w:r w:rsidRPr="00885725">
        <w:rPr>
          <w:rFonts w:ascii="Arial" w:eastAsia="Cambria" w:hAnsi="Arial" w:cs="Arial"/>
          <w:b/>
          <w:color w:val="000000"/>
          <w:lang w:val="es-ES_tradnl" w:eastAsia="en-US"/>
        </w:rPr>
        <w:t>RESULTANDO QUE:</w:t>
      </w:r>
    </w:p>
    <w:p w:rsidR="00885725" w:rsidRPr="00885725" w:rsidRDefault="00885725" w:rsidP="00885725">
      <w:pPr>
        <w:tabs>
          <w:tab w:val="left" w:pos="3070"/>
        </w:tabs>
        <w:contextualSpacing/>
        <w:jc w:val="both"/>
        <w:outlineLvl w:val="0"/>
        <w:rPr>
          <w:rFonts w:ascii="Arial" w:eastAsia="Cambria" w:hAnsi="Arial" w:cs="Arial"/>
          <w:b/>
          <w:color w:val="000000"/>
          <w:lang w:val="es-ES_tradnl" w:eastAsia="en-US"/>
        </w:rPr>
      </w:pPr>
    </w:p>
    <w:p w:rsidR="00885725" w:rsidRPr="00885725" w:rsidRDefault="00885725" w:rsidP="00885725">
      <w:pPr>
        <w:numPr>
          <w:ilvl w:val="0"/>
          <w:numId w:val="12"/>
        </w:numPr>
        <w:ind w:left="426" w:hanging="426"/>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El Estatuto Orgánico del Instituto Tecnológico de Costa Rica señala, en su artículo 18, lo siguiente:</w:t>
      </w:r>
    </w:p>
    <w:p w:rsidR="00885725" w:rsidRPr="00885725" w:rsidRDefault="00885725" w:rsidP="00885725">
      <w:pPr>
        <w:rPr>
          <w:color w:val="000000"/>
        </w:rPr>
      </w:pPr>
    </w:p>
    <w:p w:rsidR="00885725" w:rsidRPr="00885725" w:rsidRDefault="00885725" w:rsidP="00885725">
      <w:pPr>
        <w:overflowPunct w:val="0"/>
        <w:autoSpaceDE w:val="0"/>
        <w:autoSpaceDN w:val="0"/>
        <w:adjustRightInd w:val="0"/>
        <w:ind w:left="1276" w:right="618" w:hanging="426"/>
        <w:jc w:val="both"/>
        <w:textAlignment w:val="baseline"/>
        <w:rPr>
          <w:rFonts w:ascii="Arial" w:eastAsia="Cambria" w:hAnsi="Arial" w:cs="Arial"/>
          <w:i/>
          <w:color w:val="000000"/>
          <w:sz w:val="20"/>
          <w:szCs w:val="20"/>
          <w:lang w:val="es-ES_tradnl" w:eastAsia="en-US"/>
        </w:rPr>
      </w:pPr>
      <w:r w:rsidRPr="00885725">
        <w:rPr>
          <w:rFonts w:ascii="Arial" w:eastAsia="Cambria" w:hAnsi="Arial" w:cs="Arial"/>
          <w:i/>
          <w:color w:val="000000"/>
          <w:sz w:val="20"/>
          <w:szCs w:val="20"/>
          <w:lang w:val="es-ES_tradnl" w:eastAsia="en-US"/>
        </w:rPr>
        <w:t>“Son funciones del Consejo Institucional:</w:t>
      </w:r>
    </w:p>
    <w:p w:rsidR="00885725" w:rsidRPr="00885725" w:rsidRDefault="00885725" w:rsidP="00885725">
      <w:pPr>
        <w:overflowPunct w:val="0"/>
        <w:autoSpaceDE w:val="0"/>
        <w:autoSpaceDN w:val="0"/>
        <w:adjustRightInd w:val="0"/>
        <w:ind w:left="1276" w:right="618" w:hanging="426"/>
        <w:jc w:val="both"/>
        <w:textAlignment w:val="baseline"/>
        <w:rPr>
          <w:rFonts w:ascii="Arial" w:eastAsia="Cambria" w:hAnsi="Arial" w:cs="Arial"/>
          <w:i/>
          <w:color w:val="000000"/>
          <w:sz w:val="20"/>
          <w:szCs w:val="20"/>
          <w:lang w:val="es-ES_tradnl" w:eastAsia="en-US"/>
        </w:rPr>
      </w:pPr>
      <w:r w:rsidRPr="00885725">
        <w:rPr>
          <w:rFonts w:ascii="Arial" w:eastAsia="Cambria" w:hAnsi="Arial" w:cs="Arial"/>
          <w:i/>
          <w:color w:val="000000"/>
          <w:sz w:val="20"/>
          <w:szCs w:val="20"/>
          <w:lang w:val="es-ES_tradnl" w:eastAsia="en-US"/>
        </w:rPr>
        <w:t>…</w:t>
      </w:r>
    </w:p>
    <w:p w:rsidR="00885725" w:rsidRPr="00885725" w:rsidRDefault="00885725" w:rsidP="00885725">
      <w:pPr>
        <w:overflowPunct w:val="0"/>
        <w:autoSpaceDE w:val="0"/>
        <w:autoSpaceDN w:val="0"/>
        <w:adjustRightInd w:val="0"/>
        <w:ind w:left="1276" w:right="618" w:hanging="426"/>
        <w:jc w:val="both"/>
        <w:textAlignment w:val="baseline"/>
        <w:rPr>
          <w:rFonts w:ascii="Arial" w:eastAsia="Cambria" w:hAnsi="Arial" w:cs="Arial"/>
          <w:i/>
          <w:color w:val="000000"/>
          <w:sz w:val="20"/>
          <w:szCs w:val="20"/>
          <w:lang w:val="es-ES_tradnl" w:eastAsia="en-US"/>
        </w:rPr>
      </w:pPr>
      <w:r w:rsidRPr="00885725">
        <w:rPr>
          <w:rFonts w:ascii="Arial" w:eastAsia="Cambria" w:hAnsi="Arial" w:cs="Arial"/>
          <w:i/>
          <w:color w:val="000000"/>
          <w:sz w:val="20"/>
          <w:szCs w:val="20"/>
          <w:lang w:val="es-ES_tradnl" w:eastAsia="en-US"/>
        </w:rPr>
        <w:t>f.</w:t>
      </w:r>
      <w:r w:rsidRPr="00885725">
        <w:rPr>
          <w:rFonts w:ascii="Arial" w:eastAsia="Cambria" w:hAnsi="Arial" w:cs="Arial"/>
          <w:i/>
          <w:color w:val="000000"/>
          <w:sz w:val="20"/>
          <w:szCs w:val="20"/>
          <w:lang w:val="es-ES_tradnl"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885725" w:rsidRPr="00885725" w:rsidRDefault="00885725" w:rsidP="00885725">
      <w:pPr>
        <w:overflowPunct w:val="0"/>
        <w:autoSpaceDE w:val="0"/>
        <w:autoSpaceDN w:val="0"/>
        <w:adjustRightInd w:val="0"/>
        <w:ind w:left="1276" w:right="618" w:hanging="426"/>
        <w:jc w:val="both"/>
        <w:textAlignment w:val="baseline"/>
        <w:rPr>
          <w:rFonts w:ascii="Arial" w:eastAsia="Cambria" w:hAnsi="Arial" w:cs="Arial"/>
          <w:i/>
          <w:color w:val="000000"/>
          <w:sz w:val="20"/>
          <w:szCs w:val="20"/>
          <w:lang w:val="es-ES_tradnl" w:eastAsia="en-US"/>
        </w:rPr>
      </w:pPr>
      <w:r w:rsidRPr="00885725">
        <w:rPr>
          <w:rFonts w:ascii="Arial" w:eastAsia="Cambria" w:hAnsi="Arial" w:cs="Arial"/>
          <w:i/>
          <w:color w:val="000000"/>
          <w:sz w:val="20"/>
          <w:szCs w:val="20"/>
          <w:lang w:val="es-ES_tradnl" w:eastAsia="en-US"/>
        </w:rPr>
        <w:t>…</w:t>
      </w:r>
    </w:p>
    <w:p w:rsidR="00885725" w:rsidRPr="00885725" w:rsidRDefault="00885725" w:rsidP="00885725">
      <w:pPr>
        <w:overflowPunct w:val="0"/>
        <w:autoSpaceDE w:val="0"/>
        <w:autoSpaceDN w:val="0"/>
        <w:adjustRightInd w:val="0"/>
        <w:ind w:left="1276" w:right="618" w:hanging="426"/>
        <w:jc w:val="both"/>
        <w:textAlignment w:val="baseline"/>
        <w:rPr>
          <w:rFonts w:ascii="Arial" w:eastAsia="Cambria" w:hAnsi="Arial" w:cs="Arial"/>
          <w:i/>
          <w:color w:val="000000"/>
          <w:sz w:val="20"/>
          <w:szCs w:val="20"/>
          <w:lang w:val="es-ES_tradnl" w:eastAsia="en-US"/>
        </w:rPr>
      </w:pPr>
      <w:r w:rsidRPr="00885725">
        <w:rPr>
          <w:rFonts w:ascii="Arial" w:eastAsia="Cambria" w:hAnsi="Arial" w:cs="Arial"/>
          <w:i/>
          <w:color w:val="000000"/>
          <w:sz w:val="20"/>
          <w:szCs w:val="20"/>
          <w:lang w:val="es-ES_tradnl" w:eastAsia="en-US"/>
        </w:rPr>
        <w:t>k. Velar por el trato justo a todos los miembros de la comunidad del Instituto.”</w:t>
      </w:r>
    </w:p>
    <w:p w:rsidR="00885725" w:rsidRPr="00885725" w:rsidRDefault="00885725" w:rsidP="00885725">
      <w:pPr>
        <w:tabs>
          <w:tab w:val="left" w:pos="3070"/>
        </w:tabs>
        <w:contextualSpacing/>
        <w:jc w:val="both"/>
        <w:outlineLvl w:val="0"/>
        <w:rPr>
          <w:rFonts w:ascii="Arial" w:eastAsia="Cambria" w:hAnsi="Arial" w:cs="Arial"/>
          <w:b/>
          <w:color w:val="000000"/>
          <w:lang w:val="es-ES_tradnl" w:eastAsia="en-US"/>
        </w:rPr>
      </w:pPr>
    </w:p>
    <w:p w:rsidR="00885725" w:rsidRPr="00885725" w:rsidRDefault="00885725" w:rsidP="00885725">
      <w:pPr>
        <w:numPr>
          <w:ilvl w:val="0"/>
          <w:numId w:val="12"/>
        </w:numPr>
        <w:ind w:left="426" w:hanging="426"/>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El artículo 1 del Reglamento del Régimen de Enseñanza-Aprendizaje del Instituto Tecnológico de Costa Rica indica lo siguiente:</w:t>
      </w:r>
    </w:p>
    <w:p w:rsidR="00885725" w:rsidRPr="00885725" w:rsidRDefault="00885725" w:rsidP="00885725">
      <w:pPr>
        <w:jc w:val="both"/>
        <w:rPr>
          <w:rFonts w:ascii="Arial" w:eastAsia="Cambria" w:hAnsi="Arial" w:cs="Arial"/>
          <w:color w:val="000000"/>
          <w:lang w:val="es-ES_tradnl" w:eastAsia="en-US"/>
        </w:rPr>
      </w:pPr>
    </w:p>
    <w:p w:rsidR="00885725" w:rsidRPr="00885725" w:rsidRDefault="00885725" w:rsidP="00885725">
      <w:pPr>
        <w:ind w:left="851" w:right="474"/>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w:t>
      </w:r>
    </w:p>
    <w:p w:rsidR="00885725" w:rsidRPr="00885725" w:rsidRDefault="00885725" w:rsidP="00885725">
      <w:pPr>
        <w:ind w:left="851" w:right="474"/>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lastRenderedPageBreak/>
        <w:t xml:space="preserve">Artículo 1 </w:t>
      </w:r>
    </w:p>
    <w:p w:rsidR="00885725" w:rsidRPr="00885725" w:rsidRDefault="00885725" w:rsidP="00885725">
      <w:pPr>
        <w:ind w:left="851" w:right="474"/>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Este Reglamento norma el sistema de estudios del Instituto Tecnológico de Costa Rica y tiene como fin desarrollar en forma óptima el proceso de enseñanza aprendizaje dentro del marco derechos, obligaciones, funciones y responsabilidades de profesores y estudiantes.”</w:t>
      </w:r>
    </w:p>
    <w:p w:rsidR="00885725" w:rsidRPr="00885725" w:rsidRDefault="00885725" w:rsidP="00885725">
      <w:pPr>
        <w:ind w:left="851" w:right="474"/>
        <w:jc w:val="both"/>
        <w:rPr>
          <w:rFonts w:ascii="Arial" w:hAnsi="Arial" w:cs="Arial"/>
          <w:color w:val="000000"/>
          <w:sz w:val="22"/>
          <w:szCs w:val="22"/>
          <w:lang w:val="es-ES_tradnl" w:eastAsia="es-CR"/>
        </w:rPr>
      </w:pPr>
    </w:p>
    <w:p w:rsidR="00885725" w:rsidRPr="00885725" w:rsidRDefault="00885725" w:rsidP="00885725">
      <w:pPr>
        <w:numPr>
          <w:ilvl w:val="0"/>
          <w:numId w:val="12"/>
        </w:numPr>
        <w:ind w:left="426" w:hanging="426"/>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El artículo 2, inciso f, del Reglamento del Régimen de Enseñanza-Aprendizaje del Instituto Tecnológico de Costa Rica establece lo siguiente:</w:t>
      </w:r>
    </w:p>
    <w:p w:rsidR="00885725" w:rsidRPr="00885725" w:rsidRDefault="00885725" w:rsidP="00885725">
      <w:pPr>
        <w:ind w:left="851" w:right="474"/>
        <w:jc w:val="both"/>
        <w:rPr>
          <w:rFonts w:ascii="Arial" w:eastAsia="Cambria" w:hAnsi="Arial" w:cs="Arial"/>
          <w:color w:val="000000"/>
          <w:sz w:val="20"/>
          <w:szCs w:val="20"/>
          <w:lang w:val="es-ES_tradnl" w:eastAsia="en-US"/>
        </w:rPr>
      </w:pPr>
    </w:p>
    <w:p w:rsidR="00885725" w:rsidRPr="00885725" w:rsidRDefault="00885725" w:rsidP="00885725">
      <w:pPr>
        <w:ind w:left="851" w:right="476"/>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w:t>
      </w:r>
    </w:p>
    <w:p w:rsidR="00885725" w:rsidRPr="00885725" w:rsidRDefault="00885725" w:rsidP="00885725">
      <w:pPr>
        <w:ind w:left="851" w:right="476"/>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 xml:space="preserve">Artículo 2 </w:t>
      </w:r>
    </w:p>
    <w:p w:rsidR="00885725" w:rsidRPr="00885725" w:rsidRDefault="00885725" w:rsidP="00885725">
      <w:pPr>
        <w:ind w:left="851" w:right="476"/>
        <w:jc w:val="both"/>
        <w:rPr>
          <w:rFonts w:ascii="Arial" w:hAnsi="Arial" w:cs="Arial"/>
          <w:i/>
          <w:color w:val="000000"/>
          <w:sz w:val="20"/>
          <w:szCs w:val="20"/>
          <w:lang w:val="es-ES_tradnl" w:eastAsia="es-CR"/>
        </w:rPr>
      </w:pPr>
    </w:p>
    <w:p w:rsidR="00885725" w:rsidRPr="00885725" w:rsidRDefault="00885725" w:rsidP="00885725">
      <w:pPr>
        <w:ind w:left="851" w:right="476"/>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Las normas y mecanismos establecidos en este Reglamento se orientan a:</w:t>
      </w:r>
    </w:p>
    <w:p w:rsidR="00885725" w:rsidRPr="00885725" w:rsidRDefault="00885725" w:rsidP="00885725">
      <w:pPr>
        <w:ind w:left="851" w:right="476"/>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w:t>
      </w:r>
    </w:p>
    <w:p w:rsidR="00885725" w:rsidRPr="00885725" w:rsidRDefault="00885725" w:rsidP="00885725">
      <w:pPr>
        <w:ind w:left="993" w:right="476" w:hanging="142"/>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f. Fijar los derechos y obligaciones de profesores y estudiantes en el Régimen Enseñanza Aprendizaje.”</w:t>
      </w:r>
    </w:p>
    <w:p w:rsidR="00885725" w:rsidRPr="00885725" w:rsidRDefault="00885725" w:rsidP="00885725">
      <w:pPr>
        <w:jc w:val="both"/>
        <w:rPr>
          <w:rFonts w:ascii="Arial" w:eastAsia="Cambria" w:hAnsi="Arial" w:cs="Arial"/>
          <w:color w:val="000000"/>
          <w:sz w:val="20"/>
          <w:szCs w:val="20"/>
          <w:lang w:val="es-ES_tradnl" w:eastAsia="en-US"/>
        </w:rPr>
      </w:pPr>
    </w:p>
    <w:p w:rsidR="00885725" w:rsidRPr="00885725" w:rsidRDefault="00885725" w:rsidP="00885725">
      <w:pPr>
        <w:numPr>
          <w:ilvl w:val="0"/>
          <w:numId w:val="12"/>
        </w:numPr>
        <w:ind w:left="426" w:hanging="426"/>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 xml:space="preserve">La Asamblea Institucional Representativa aprobó, en la </w:t>
      </w:r>
      <w:r w:rsidRPr="00885725">
        <w:rPr>
          <w:rFonts w:ascii="Arial" w:eastAsia="Calibri" w:hAnsi="Arial" w:cs="Arial"/>
          <w:color w:val="000000"/>
          <w:sz w:val="23"/>
          <w:szCs w:val="23"/>
          <w:lang w:val="es-CR" w:eastAsia="en-US"/>
        </w:rPr>
        <w:t xml:space="preserve">Sesión Ordinaria AIR-96-2019, las políticas generales 18 y 19, que indican lo siguiente: </w:t>
      </w:r>
    </w:p>
    <w:p w:rsidR="00885725" w:rsidRPr="00885725" w:rsidRDefault="00885725" w:rsidP="00885725">
      <w:pPr>
        <w:jc w:val="both"/>
        <w:rPr>
          <w:rFonts w:ascii="Arial" w:eastAsia="Cambria" w:hAnsi="Arial" w:cs="Arial"/>
          <w:color w:val="000000"/>
          <w:lang w:val="es-ES_tradnl" w:eastAsia="en-US"/>
        </w:rPr>
      </w:pPr>
    </w:p>
    <w:p w:rsidR="00885725" w:rsidRPr="00885725" w:rsidRDefault="00885725" w:rsidP="00885725">
      <w:pPr>
        <w:ind w:left="1276" w:right="476" w:hanging="425"/>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 xml:space="preserve">“18. Se prohíbe la discriminación contra cualquier persona por su etnia, su lugar de procedencia, género, orientación sexual o identidad de género, estado civil, religión, opinión política, ascendencia nacional, filiación, condición de discapacidad, maternidad y paternidad, y su condición socioeconómica, edad o cualquier otra forma análoga de discriminación. También se prohíbe el acoso o el hostigamiento producido a las personas que estudian, laboran o están involucradas con la institución, independientemente de la posición jerárquica que ocupen. </w:t>
      </w:r>
    </w:p>
    <w:p w:rsidR="00885725" w:rsidRPr="00885725" w:rsidRDefault="00885725" w:rsidP="00885725">
      <w:pPr>
        <w:ind w:left="851" w:right="476"/>
        <w:jc w:val="both"/>
        <w:rPr>
          <w:rFonts w:ascii="Arial" w:hAnsi="Arial" w:cs="Arial"/>
          <w:i/>
          <w:color w:val="000000"/>
          <w:sz w:val="20"/>
          <w:szCs w:val="20"/>
          <w:lang w:val="es-ES_tradnl" w:eastAsia="es-CR"/>
        </w:rPr>
      </w:pPr>
    </w:p>
    <w:p w:rsidR="00885725" w:rsidRPr="00885725" w:rsidRDefault="00885725" w:rsidP="00885725">
      <w:pPr>
        <w:ind w:left="1276" w:right="476" w:hanging="425"/>
        <w:jc w:val="both"/>
        <w:rPr>
          <w:rFonts w:ascii="Arial" w:hAnsi="Arial" w:cs="Arial"/>
          <w:i/>
          <w:color w:val="000000"/>
          <w:sz w:val="20"/>
          <w:szCs w:val="20"/>
          <w:lang w:val="es-ES_tradnl" w:eastAsia="es-CR"/>
        </w:rPr>
      </w:pPr>
      <w:r w:rsidRPr="00885725">
        <w:rPr>
          <w:rFonts w:ascii="Arial" w:hAnsi="Arial" w:cs="Arial"/>
          <w:i/>
          <w:color w:val="000000"/>
          <w:sz w:val="20"/>
          <w:szCs w:val="20"/>
          <w:lang w:val="es-ES_tradnl" w:eastAsia="es-CR"/>
        </w:rPr>
        <w:t>19. Se pondrán en práctica procesos incluyentes y acciones que sirvan como medio de construcción de una sociedad equitativa, igualitaria, inclusiva y libre de discriminación.”</w:t>
      </w:r>
    </w:p>
    <w:p w:rsidR="00885725" w:rsidRPr="00885725" w:rsidRDefault="00885725" w:rsidP="00885725">
      <w:pPr>
        <w:jc w:val="both"/>
        <w:rPr>
          <w:rFonts w:ascii="Arial" w:eastAsia="Cambria" w:hAnsi="Arial" w:cs="Arial"/>
          <w:color w:val="000000"/>
          <w:lang w:val="es-ES_tradnl" w:eastAsia="en-US"/>
        </w:rPr>
      </w:pPr>
    </w:p>
    <w:p w:rsidR="00885725" w:rsidRPr="00885725" w:rsidRDefault="00885725" w:rsidP="00885725">
      <w:pPr>
        <w:numPr>
          <w:ilvl w:val="0"/>
          <w:numId w:val="12"/>
        </w:numPr>
        <w:ind w:left="426" w:hanging="426"/>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El “Modelo Académico” del Instituto, aprobado por el plenario del III Congreso Institucional, establece que:</w:t>
      </w:r>
    </w:p>
    <w:p w:rsidR="00885725" w:rsidRPr="00885725" w:rsidRDefault="00885725" w:rsidP="00885725">
      <w:pPr>
        <w:autoSpaceDE w:val="0"/>
        <w:autoSpaceDN w:val="0"/>
        <w:adjustRightInd w:val="0"/>
        <w:ind w:left="426"/>
        <w:rPr>
          <w:rFonts w:ascii="Arial" w:eastAsia="Calibri" w:hAnsi="Arial" w:cs="Arial"/>
          <w:color w:val="000000"/>
          <w:lang w:val="es-CR" w:eastAsia="en-US"/>
        </w:rPr>
      </w:pPr>
    </w:p>
    <w:p w:rsidR="00885725" w:rsidRPr="00885725" w:rsidRDefault="00885725" w:rsidP="00885725">
      <w:pPr>
        <w:autoSpaceDE w:val="0"/>
        <w:autoSpaceDN w:val="0"/>
        <w:adjustRightInd w:val="0"/>
        <w:ind w:left="426"/>
        <w:rPr>
          <w:rFonts w:ascii="Arial" w:eastAsia="Calibri" w:hAnsi="Arial" w:cs="Arial"/>
          <w:i/>
          <w:color w:val="000000"/>
          <w:sz w:val="20"/>
          <w:szCs w:val="20"/>
          <w:lang w:val="es-CR" w:eastAsia="en-US"/>
        </w:rPr>
      </w:pPr>
      <w:r w:rsidRPr="00885725">
        <w:rPr>
          <w:rFonts w:ascii="Arial" w:eastAsia="Calibri" w:hAnsi="Arial" w:cs="Arial"/>
          <w:i/>
          <w:color w:val="000000"/>
          <w:sz w:val="20"/>
          <w:szCs w:val="20"/>
          <w:lang w:val="es-CR" w:eastAsia="en-US"/>
        </w:rPr>
        <w:t>“…</w:t>
      </w:r>
    </w:p>
    <w:p w:rsidR="00885725" w:rsidRPr="00885725" w:rsidRDefault="00885725" w:rsidP="00885725">
      <w:pPr>
        <w:numPr>
          <w:ilvl w:val="0"/>
          <w:numId w:val="16"/>
        </w:numPr>
        <w:ind w:right="474"/>
        <w:jc w:val="both"/>
        <w:rPr>
          <w:rFonts w:ascii="Arial" w:hAnsi="Arial" w:cs="Arial"/>
          <w:i/>
          <w:color w:val="000000"/>
          <w:sz w:val="20"/>
          <w:szCs w:val="20"/>
          <w:lang w:val="es-CR" w:eastAsia="es-CR"/>
        </w:rPr>
      </w:pPr>
      <w:r w:rsidRPr="00885725">
        <w:rPr>
          <w:rFonts w:ascii="Arial" w:hAnsi="Arial" w:cs="Arial"/>
          <w:i/>
          <w:color w:val="000000"/>
          <w:sz w:val="20"/>
          <w:szCs w:val="20"/>
          <w:lang w:val="es-CR" w:eastAsia="es-CR"/>
        </w:rPr>
        <w:t>El Instituto Tecnológico de Costa Rica reconoce que la mayor riqueza de un país son las personas y por ello considera fundamental generar capacidades y oportunidades para ellas.”</w:t>
      </w:r>
    </w:p>
    <w:p w:rsidR="00885725" w:rsidRPr="00885725" w:rsidRDefault="00885725" w:rsidP="00885725">
      <w:pPr>
        <w:jc w:val="both"/>
        <w:rPr>
          <w:rFonts w:ascii="Arial" w:eastAsia="Cambria" w:hAnsi="Arial" w:cs="Arial"/>
          <w:i/>
          <w:color w:val="000000"/>
          <w:sz w:val="20"/>
          <w:szCs w:val="20"/>
          <w:lang w:val="es-ES_tradnl" w:eastAsia="en-US"/>
        </w:rPr>
      </w:pPr>
    </w:p>
    <w:p w:rsidR="00885725" w:rsidRPr="00885725" w:rsidRDefault="00885725" w:rsidP="00885725">
      <w:pPr>
        <w:numPr>
          <w:ilvl w:val="0"/>
          <w:numId w:val="12"/>
        </w:numPr>
        <w:ind w:left="426" w:hanging="426"/>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El III Congreso Institucional estableció, entre los ejes transversales del Instituto, aprobados como parte del “Modelo Académico”, el siguiente:</w:t>
      </w:r>
    </w:p>
    <w:p w:rsidR="00885725" w:rsidRPr="00885725" w:rsidRDefault="00885725" w:rsidP="00885725">
      <w:pPr>
        <w:jc w:val="both"/>
        <w:rPr>
          <w:rFonts w:ascii="Arial" w:eastAsia="Cambria" w:hAnsi="Arial" w:cs="Arial"/>
          <w:color w:val="000000"/>
          <w:lang w:val="es-ES_tradnl" w:eastAsia="en-US"/>
        </w:rPr>
      </w:pPr>
    </w:p>
    <w:p w:rsidR="00885725" w:rsidRPr="00885725" w:rsidRDefault="00885725" w:rsidP="00885725">
      <w:pPr>
        <w:ind w:firstLine="426"/>
        <w:jc w:val="both"/>
        <w:rPr>
          <w:rFonts w:ascii="Arial" w:eastAsia="Cambria" w:hAnsi="Arial" w:cs="Arial"/>
          <w:color w:val="000000"/>
          <w:sz w:val="20"/>
          <w:szCs w:val="20"/>
          <w:lang w:val="es-ES_tradnl" w:eastAsia="en-US"/>
        </w:rPr>
      </w:pPr>
      <w:r w:rsidRPr="00885725">
        <w:rPr>
          <w:rFonts w:ascii="Arial" w:eastAsia="Cambria" w:hAnsi="Arial" w:cs="Arial"/>
          <w:color w:val="000000"/>
          <w:sz w:val="20"/>
          <w:szCs w:val="20"/>
          <w:lang w:val="es-ES_tradnl" w:eastAsia="en-US"/>
        </w:rPr>
        <w:t>“…</w:t>
      </w:r>
    </w:p>
    <w:p w:rsidR="00885725" w:rsidRPr="00885725" w:rsidRDefault="00885725" w:rsidP="00885725">
      <w:pPr>
        <w:numPr>
          <w:ilvl w:val="0"/>
          <w:numId w:val="16"/>
        </w:numPr>
        <w:ind w:right="474"/>
        <w:jc w:val="both"/>
        <w:rPr>
          <w:rFonts w:ascii="Arial" w:hAnsi="Arial" w:cs="Arial"/>
          <w:color w:val="000000"/>
          <w:sz w:val="20"/>
          <w:szCs w:val="20"/>
          <w:lang w:val="es-CR" w:eastAsia="es-CR"/>
        </w:rPr>
      </w:pPr>
      <w:r w:rsidRPr="00885725">
        <w:rPr>
          <w:rFonts w:ascii="Arial" w:hAnsi="Arial" w:cs="Arial"/>
          <w:color w:val="000000"/>
          <w:sz w:val="20"/>
          <w:szCs w:val="20"/>
          <w:lang w:val="es-CR" w:eastAsia="es-CR"/>
        </w:rPr>
        <w:t xml:space="preserve">El ser humano como principio y fin de la acción institucional.” </w:t>
      </w:r>
    </w:p>
    <w:p w:rsidR="00885725" w:rsidRPr="00885725" w:rsidRDefault="00885725" w:rsidP="00885725">
      <w:pPr>
        <w:ind w:right="474"/>
        <w:jc w:val="both"/>
        <w:rPr>
          <w:rFonts w:ascii="Arial" w:hAnsi="Arial" w:cs="Arial"/>
          <w:color w:val="000000"/>
          <w:sz w:val="20"/>
          <w:szCs w:val="20"/>
          <w:lang w:val="es-ES_tradnl" w:eastAsia="es-CR"/>
        </w:rPr>
      </w:pPr>
    </w:p>
    <w:p w:rsidR="00885725" w:rsidRPr="00885725" w:rsidRDefault="00885725" w:rsidP="00885725">
      <w:pPr>
        <w:numPr>
          <w:ilvl w:val="0"/>
          <w:numId w:val="12"/>
        </w:numPr>
        <w:ind w:left="426" w:hanging="426"/>
        <w:jc w:val="both"/>
        <w:rPr>
          <w:rFonts w:ascii="Arial" w:hAnsi="Arial" w:cs="Arial"/>
          <w:sz w:val="22"/>
          <w:szCs w:val="22"/>
          <w:lang w:val="es-ES_tradnl" w:eastAsia="es-CR"/>
        </w:rPr>
      </w:pPr>
      <w:r w:rsidRPr="00885725">
        <w:rPr>
          <w:rFonts w:ascii="Arial" w:hAnsi="Arial" w:cs="Arial"/>
          <w:sz w:val="22"/>
          <w:szCs w:val="22"/>
          <w:lang w:val="es-ES_tradnl" w:eastAsia="es-CR"/>
        </w:rPr>
        <w:t xml:space="preserve">El Dr. Luis Gerardo Meza Cascante dejó presentada, en la Sesión Ordinaria No. 3131 realizada el miércoles 14 de agosto de 2019, una propuesta tendiente a incorporar </w:t>
      </w:r>
      <w:r w:rsidRPr="00885725">
        <w:rPr>
          <w:rFonts w:ascii="Arial" w:eastAsia="Calibri" w:hAnsi="Arial" w:cs="Arial"/>
          <w:bCs/>
          <w:lang w:val="es-CR" w:eastAsia="en-US"/>
        </w:rPr>
        <w:t>un artículo 77 BIS en el Reglamento del Régimen de Enseñanza-Aprendizaje del Instituto Tecnológico de Costa Rica para crear una licencia para las y los estudiantes que enfrenten la muerte de un familiar o de su cónyuge o compañero(a), con el siguiente texto:</w:t>
      </w:r>
    </w:p>
    <w:p w:rsidR="00885725" w:rsidRPr="00885725" w:rsidRDefault="00885725" w:rsidP="00885725">
      <w:pPr>
        <w:jc w:val="both"/>
        <w:rPr>
          <w:rFonts w:ascii="Arial" w:hAnsi="Arial" w:cs="Arial"/>
          <w:sz w:val="22"/>
          <w:szCs w:val="22"/>
          <w:lang w:val="es-ES_tradnl" w:eastAsia="es-CR"/>
        </w:rPr>
      </w:pPr>
    </w:p>
    <w:p w:rsidR="00885725" w:rsidRPr="00885725" w:rsidRDefault="00885725" w:rsidP="00885725">
      <w:pPr>
        <w:ind w:left="851" w:right="191"/>
        <w:contextualSpacing/>
        <w:jc w:val="both"/>
        <w:rPr>
          <w:rFonts w:ascii="Arial" w:eastAsia="Cambria" w:hAnsi="Arial" w:cs="Arial"/>
          <w:b/>
          <w:i/>
          <w:sz w:val="20"/>
          <w:szCs w:val="20"/>
          <w:lang w:val="es-ES_tradnl" w:eastAsia="en-US"/>
        </w:rPr>
      </w:pPr>
      <w:r w:rsidRPr="00885725">
        <w:rPr>
          <w:rFonts w:ascii="Arial" w:eastAsia="Cambria" w:hAnsi="Arial" w:cs="Arial"/>
          <w:b/>
          <w:i/>
          <w:sz w:val="20"/>
          <w:szCs w:val="20"/>
          <w:lang w:val="es-ES_tradnl" w:eastAsia="en-US"/>
        </w:rPr>
        <w:t>“…</w:t>
      </w:r>
    </w:p>
    <w:p w:rsidR="00885725" w:rsidRPr="00885725" w:rsidRDefault="00885725" w:rsidP="00885725">
      <w:pPr>
        <w:ind w:left="851" w:right="191"/>
        <w:contextualSpacing/>
        <w:jc w:val="both"/>
        <w:rPr>
          <w:rFonts w:ascii="Arial" w:eastAsia="Calibri" w:hAnsi="Arial" w:cs="Arial"/>
          <w:b/>
          <w:bCs/>
          <w:i/>
          <w:sz w:val="20"/>
          <w:szCs w:val="20"/>
          <w:lang w:val="es-CR" w:eastAsia="en-US"/>
        </w:rPr>
      </w:pPr>
      <w:r w:rsidRPr="00885725">
        <w:rPr>
          <w:rFonts w:ascii="Arial" w:eastAsia="Cambria" w:hAnsi="Arial" w:cs="Arial"/>
          <w:b/>
          <w:i/>
          <w:sz w:val="20"/>
          <w:szCs w:val="20"/>
          <w:lang w:val="es-ES_tradnl" w:eastAsia="en-US"/>
        </w:rPr>
        <w:t>Artículo 77</w:t>
      </w:r>
      <w:r w:rsidRPr="00885725">
        <w:rPr>
          <w:rFonts w:ascii="Arial" w:eastAsia="Calibri" w:hAnsi="Arial" w:cs="Arial"/>
          <w:b/>
          <w:bCs/>
          <w:i/>
          <w:sz w:val="20"/>
          <w:szCs w:val="20"/>
          <w:lang w:val="es-CR" w:eastAsia="en-US"/>
        </w:rPr>
        <w:t xml:space="preserve"> BIS</w:t>
      </w:r>
    </w:p>
    <w:p w:rsidR="00885725" w:rsidRPr="00885725" w:rsidRDefault="00885725" w:rsidP="00885725">
      <w:pPr>
        <w:ind w:left="851" w:right="191"/>
        <w:contextualSpacing/>
        <w:jc w:val="both"/>
        <w:rPr>
          <w:i/>
          <w:sz w:val="20"/>
          <w:szCs w:val="20"/>
          <w:lang w:val="es-ES_tradnl" w:eastAsia="es-CR"/>
        </w:rPr>
      </w:pPr>
    </w:p>
    <w:p w:rsidR="00885725" w:rsidRPr="00885725" w:rsidRDefault="00885725" w:rsidP="00885725">
      <w:pPr>
        <w:ind w:left="851" w:right="191"/>
        <w:contextualSpacing/>
        <w:jc w:val="both"/>
        <w:rPr>
          <w:rFonts w:ascii="Arial" w:hAnsi="Arial" w:cs="Arial"/>
          <w:i/>
          <w:sz w:val="20"/>
          <w:szCs w:val="20"/>
          <w:lang w:val="es-ES_tradnl" w:eastAsia="es-CR"/>
        </w:rPr>
      </w:pPr>
      <w:r w:rsidRPr="00885725">
        <w:rPr>
          <w:rFonts w:ascii="Arial" w:hAnsi="Arial" w:cs="Arial"/>
          <w:i/>
          <w:sz w:val="20"/>
          <w:szCs w:val="20"/>
          <w:lang w:val="es-ES_tradnl" w:eastAsia="es-CR"/>
        </w:rPr>
        <w:lastRenderedPageBreak/>
        <w:t xml:space="preserve">El Instituto otorgará licencia a las personas estudiantes, en los días subsiguientes inmediatos al evento, </w:t>
      </w:r>
      <w:r w:rsidRPr="00885725">
        <w:rPr>
          <w:rFonts w:ascii="Arial" w:eastAsia="Calibri" w:hAnsi="Arial" w:cs="Arial"/>
          <w:bCs/>
          <w:i/>
          <w:sz w:val="20"/>
          <w:szCs w:val="20"/>
          <w:lang w:val="es-CR" w:eastAsia="en-US"/>
        </w:rPr>
        <w:t>por</w:t>
      </w:r>
      <w:r w:rsidRPr="00885725">
        <w:rPr>
          <w:rFonts w:ascii="Arial" w:hAnsi="Arial" w:cs="Arial"/>
          <w:i/>
          <w:sz w:val="20"/>
          <w:szCs w:val="20"/>
          <w:lang w:val="es-ES_tradnl" w:eastAsia="es-CR"/>
        </w:rPr>
        <w:t xml:space="preserve"> el fallecimiento de su padre, madre, hija(o), hermano(a), cónyuge o compañero(a) de cinco días hábiles, ampliables según análisis y recomendación del Departamento de Orientación y Psicología.  si el deceso ocurriera dentro del país y diez días hábiles si acaeciera fuera de éste y el o la estudiante se desplaza.</w:t>
      </w:r>
    </w:p>
    <w:p w:rsidR="00885725" w:rsidRPr="00885725" w:rsidRDefault="00885725" w:rsidP="00885725">
      <w:pPr>
        <w:ind w:left="851" w:right="191"/>
        <w:contextualSpacing/>
        <w:jc w:val="both"/>
        <w:rPr>
          <w:rFonts w:ascii="Arial" w:hAnsi="Arial" w:cs="Arial"/>
          <w:i/>
          <w:sz w:val="20"/>
          <w:szCs w:val="20"/>
          <w:lang w:val="es-ES_tradnl" w:eastAsia="es-CR"/>
        </w:rPr>
      </w:pPr>
    </w:p>
    <w:p w:rsidR="00885725" w:rsidRPr="00885725" w:rsidRDefault="00885725" w:rsidP="00885725">
      <w:pPr>
        <w:ind w:left="851" w:right="191"/>
        <w:contextualSpacing/>
        <w:jc w:val="both"/>
        <w:rPr>
          <w:rFonts w:ascii="Arial" w:hAnsi="Arial" w:cs="Arial"/>
          <w:i/>
          <w:sz w:val="20"/>
          <w:szCs w:val="20"/>
          <w:lang w:val="es-ES_tradnl" w:eastAsia="es-CR"/>
        </w:rPr>
      </w:pPr>
      <w:r w:rsidRPr="00885725">
        <w:rPr>
          <w:rFonts w:ascii="Arial" w:hAnsi="Arial" w:cs="Arial"/>
          <w:i/>
          <w:sz w:val="20"/>
          <w:szCs w:val="20"/>
          <w:lang w:val="es-ES_tradnl" w:eastAsia="es-CR"/>
        </w:rPr>
        <w:t>El o la estudiante tendrá derecho a que se le repongan las actividades de evaluación realizadas durante el periodo de la licencia. Las ausencias originadas en el periodo de licencia no serán computadas, ni como justificadas ni como injustificadas, en los cursos de asistencia obligatoria.”</w:t>
      </w:r>
    </w:p>
    <w:p w:rsidR="00885725" w:rsidRPr="00885725" w:rsidRDefault="00885725" w:rsidP="00885725">
      <w:pPr>
        <w:rPr>
          <w:rFonts w:ascii="Arial" w:eastAsia="Cambria" w:hAnsi="Arial" w:cs="Arial"/>
          <w:lang w:val="es-ES_tradnl" w:eastAsia="en-US"/>
        </w:rPr>
      </w:pPr>
    </w:p>
    <w:p w:rsidR="00885725" w:rsidRPr="00885725" w:rsidRDefault="00885725" w:rsidP="00885725">
      <w:pPr>
        <w:numPr>
          <w:ilvl w:val="0"/>
          <w:numId w:val="12"/>
        </w:numPr>
        <w:ind w:left="426" w:hanging="426"/>
        <w:jc w:val="both"/>
        <w:rPr>
          <w:rFonts w:ascii="Arial" w:eastAsia="Cambria" w:hAnsi="Arial" w:cs="Arial"/>
          <w:lang w:val="es-ES_tradnl" w:eastAsia="en-US"/>
        </w:rPr>
      </w:pPr>
      <w:r w:rsidRPr="00885725">
        <w:rPr>
          <w:rFonts w:ascii="Arial" w:eastAsia="Cambria" w:hAnsi="Arial" w:cs="Arial"/>
          <w:lang w:val="es-ES_tradnl" w:eastAsia="en-US"/>
        </w:rPr>
        <w:t>La Comisión de Asuntos Académicos y Estudiantiles conoció y analizó, en la reunión 636-2019, la propuesta indicada en el resultando anterior, y tras valorar que el articulado relativo a los cursos de asistencia obligatoria debe ser revisado, para resolver sobre la conveniencia de modificarlos, acordó consultar a la Comunidad Institucional, en general y al Consejo de Docencia, en particular, el texto modificado de la propuesta en los siguientes términos:</w:t>
      </w:r>
    </w:p>
    <w:p w:rsidR="00885725" w:rsidRPr="00885725" w:rsidRDefault="00885725" w:rsidP="00885725">
      <w:pPr>
        <w:jc w:val="both"/>
        <w:rPr>
          <w:rFonts w:ascii="Arial" w:eastAsia="Cambria" w:hAnsi="Arial" w:cs="Arial"/>
          <w:lang w:val="es-ES_tradnl" w:eastAsia="en-US"/>
        </w:rPr>
      </w:pPr>
    </w:p>
    <w:p w:rsidR="00885725" w:rsidRPr="00885725" w:rsidRDefault="00885725" w:rsidP="00885725">
      <w:pPr>
        <w:ind w:left="851" w:right="191"/>
        <w:contextualSpacing/>
        <w:jc w:val="both"/>
        <w:rPr>
          <w:rFonts w:ascii="Arial" w:eastAsia="Calibri" w:hAnsi="Arial" w:cs="Arial"/>
          <w:bCs/>
          <w:i/>
          <w:lang w:val="es-CR" w:eastAsia="en-US"/>
        </w:rPr>
      </w:pPr>
      <w:r w:rsidRPr="00885725">
        <w:rPr>
          <w:rFonts w:ascii="Arial" w:eastAsia="Cambria" w:hAnsi="Arial" w:cs="Arial"/>
          <w:i/>
          <w:lang w:val="es-ES_tradnl" w:eastAsia="en-US"/>
        </w:rPr>
        <w:t>“Artículo 77</w:t>
      </w:r>
      <w:r w:rsidRPr="00885725">
        <w:rPr>
          <w:rFonts w:ascii="Arial" w:eastAsia="Calibri" w:hAnsi="Arial" w:cs="Arial"/>
          <w:bCs/>
          <w:i/>
          <w:lang w:val="es-CR" w:eastAsia="en-US"/>
        </w:rPr>
        <w:t xml:space="preserve"> BIS</w:t>
      </w:r>
    </w:p>
    <w:p w:rsidR="00885725" w:rsidRPr="00885725" w:rsidRDefault="00885725" w:rsidP="00885725">
      <w:pPr>
        <w:ind w:left="851" w:right="191"/>
        <w:contextualSpacing/>
        <w:jc w:val="both"/>
        <w:rPr>
          <w:i/>
          <w:lang w:val="es-ES_tradnl" w:eastAsia="es-CR"/>
        </w:rPr>
      </w:pPr>
    </w:p>
    <w:p w:rsidR="00885725" w:rsidRPr="00885725" w:rsidRDefault="00885725" w:rsidP="00885725">
      <w:pPr>
        <w:ind w:left="851" w:right="191"/>
        <w:contextualSpacing/>
        <w:jc w:val="both"/>
        <w:rPr>
          <w:rFonts w:ascii="Arial" w:hAnsi="Arial" w:cs="Arial"/>
          <w:i/>
          <w:lang w:val="es-ES_tradnl" w:eastAsia="es-CR"/>
        </w:rPr>
      </w:pPr>
      <w:r w:rsidRPr="00885725">
        <w:rPr>
          <w:rFonts w:ascii="Arial" w:hAnsi="Arial" w:cs="Arial"/>
          <w:i/>
          <w:lang w:val="es-ES_tradnl" w:eastAsia="es-CR"/>
        </w:rPr>
        <w:t xml:space="preserve">El Instituto otorgará licencia a las personas estudiantes, en los días subsiguientes inmediatos al evento, </w:t>
      </w:r>
      <w:r w:rsidRPr="00885725">
        <w:rPr>
          <w:rFonts w:ascii="Arial" w:eastAsia="Calibri" w:hAnsi="Arial" w:cs="Arial"/>
          <w:bCs/>
          <w:i/>
          <w:lang w:val="es-CR" w:eastAsia="en-US"/>
        </w:rPr>
        <w:t>por</w:t>
      </w:r>
      <w:r w:rsidRPr="00885725">
        <w:rPr>
          <w:rFonts w:ascii="Arial" w:hAnsi="Arial" w:cs="Arial"/>
          <w:i/>
          <w:lang w:val="es-ES_tradnl" w:eastAsia="es-CR"/>
        </w:rPr>
        <w:t xml:space="preserve"> el fallecimiento de su padre, madre, hija(o), hermano(a), cónyuge o compañero(a) de cinco días hábiles, ampliables según análisis y recomendación del Departamento de Orientación y Psicología.  </w:t>
      </w:r>
    </w:p>
    <w:p w:rsidR="00885725" w:rsidRPr="00885725" w:rsidRDefault="00885725" w:rsidP="00885725">
      <w:pPr>
        <w:ind w:left="851" w:right="191"/>
        <w:contextualSpacing/>
        <w:jc w:val="both"/>
        <w:rPr>
          <w:rFonts w:ascii="Arial" w:hAnsi="Arial" w:cs="Arial"/>
          <w:i/>
          <w:lang w:val="es-ES_tradnl" w:eastAsia="es-CR"/>
        </w:rPr>
      </w:pPr>
    </w:p>
    <w:p w:rsidR="00885725" w:rsidRPr="00885725" w:rsidRDefault="00885725" w:rsidP="00885725">
      <w:pPr>
        <w:ind w:left="851" w:right="191"/>
        <w:contextualSpacing/>
        <w:jc w:val="both"/>
        <w:rPr>
          <w:rFonts w:ascii="Arial" w:eastAsia="Calibri" w:hAnsi="Arial" w:cs="Arial"/>
          <w:bCs/>
          <w:i/>
          <w:strike/>
          <w:lang w:val="es-CR" w:eastAsia="en-US"/>
        </w:rPr>
      </w:pPr>
      <w:r w:rsidRPr="00885725">
        <w:rPr>
          <w:rFonts w:ascii="Arial" w:hAnsi="Arial" w:cs="Arial"/>
          <w:i/>
          <w:lang w:val="es-ES_tradnl" w:eastAsia="es-CR"/>
        </w:rPr>
        <w:t xml:space="preserve">El o la estudiante tendrá derecho a que se le repongan las actividades de evaluación realizadas durante el periodo de la licencia.” </w:t>
      </w:r>
    </w:p>
    <w:p w:rsidR="00885725" w:rsidRPr="00885725" w:rsidRDefault="00885725" w:rsidP="00885725">
      <w:pPr>
        <w:jc w:val="both"/>
        <w:rPr>
          <w:rFonts w:ascii="Arial" w:eastAsia="Cambria" w:hAnsi="Arial" w:cs="Arial"/>
          <w:color w:val="7030A0"/>
          <w:lang w:val="es-CR" w:eastAsia="en-US"/>
        </w:rPr>
      </w:pPr>
    </w:p>
    <w:p w:rsidR="00885725" w:rsidRPr="00885725" w:rsidRDefault="00885725" w:rsidP="00885725">
      <w:pPr>
        <w:contextualSpacing/>
        <w:jc w:val="both"/>
        <w:outlineLvl w:val="0"/>
        <w:rPr>
          <w:rFonts w:ascii="Arial" w:hAnsi="Arial" w:cs="Arial"/>
          <w:b/>
          <w:color w:val="000000"/>
          <w:lang w:val="es-CR"/>
        </w:rPr>
      </w:pPr>
      <w:bookmarkStart w:id="1" w:name="_Toc272225920"/>
      <w:bookmarkStart w:id="2" w:name="_Toc272238511"/>
      <w:bookmarkStart w:id="3" w:name="_Toc274319984"/>
      <w:r w:rsidRPr="00885725">
        <w:rPr>
          <w:rFonts w:ascii="Arial" w:hAnsi="Arial" w:cs="Arial"/>
          <w:b/>
          <w:color w:val="000000"/>
          <w:lang w:val="es-CR"/>
        </w:rPr>
        <w:t>CONSIDERANDO QUE:</w:t>
      </w:r>
    </w:p>
    <w:p w:rsidR="00885725" w:rsidRPr="00885725" w:rsidRDefault="00885725" w:rsidP="00885725">
      <w:pPr>
        <w:jc w:val="both"/>
        <w:rPr>
          <w:rFonts w:ascii="Arial" w:hAnsi="Arial" w:cs="Arial"/>
          <w:color w:val="000000"/>
          <w:lang w:val="es-CR"/>
        </w:rPr>
      </w:pPr>
    </w:p>
    <w:p w:rsidR="00885725" w:rsidRPr="00885725" w:rsidRDefault="00885725" w:rsidP="00885725">
      <w:pPr>
        <w:numPr>
          <w:ilvl w:val="0"/>
          <w:numId w:val="13"/>
        </w:numPr>
        <w:ind w:left="360"/>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 xml:space="preserve">La “Segunda Convención Colectiva de Trabajo y sus Reformas” contempla, en el artículo 115, licencias para las personas funcionarias del Instituto en caso de fallecimiento de su conyugue o compañero(a), padre, madre, hijos o hermanos, en consideración de que la muerte de una persona familiar cercana tiene implicaciones directas, tanto en el plano emocional como en otras circunstancias de la vida de la persona doliente. </w:t>
      </w:r>
    </w:p>
    <w:p w:rsidR="00885725" w:rsidRPr="00885725" w:rsidRDefault="00885725" w:rsidP="00885725">
      <w:pPr>
        <w:ind w:left="708"/>
        <w:rPr>
          <w:rFonts w:eastAsia="Calibri" w:cs="Arial"/>
          <w:color w:val="000000"/>
          <w:lang w:val="es-CR"/>
        </w:rPr>
      </w:pPr>
    </w:p>
    <w:p w:rsidR="00885725" w:rsidRPr="00885725" w:rsidRDefault="00885725" w:rsidP="00885725">
      <w:pPr>
        <w:numPr>
          <w:ilvl w:val="0"/>
          <w:numId w:val="13"/>
        </w:numPr>
        <w:ind w:left="360"/>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t xml:space="preserve">Las disposiciones del artículo 115 guardan total concordancia con la declaratoria institucional, adoptada en el III Congreso Institucional como eje transversal del “Modelo Académico”, que establece al </w:t>
      </w:r>
      <w:r w:rsidRPr="00885725">
        <w:rPr>
          <w:rFonts w:ascii="Arial" w:hAnsi="Arial" w:cs="Arial"/>
          <w:color w:val="000000"/>
          <w:lang w:val="es-CR" w:eastAsia="es-CR"/>
        </w:rPr>
        <w:t xml:space="preserve">ser humano como principio y fin de la acción institucional. No obstante, la normativa institucional no contempla ninguna disposición similar que sea aplicable al caso de las y los estudiantes, quienes al sufrir la pérdida de una persona cercana también enfrentan situaciones similares, a las que puedan enfrentar las personas funcionarias que justificaron la adopción de las disposiciones del artículo de la </w:t>
      </w:r>
      <w:r w:rsidRPr="00885725">
        <w:rPr>
          <w:rFonts w:ascii="Arial" w:eastAsia="Cambria" w:hAnsi="Arial" w:cs="Arial"/>
          <w:color w:val="000000"/>
          <w:lang w:val="es-ES_tradnl" w:eastAsia="en-US"/>
        </w:rPr>
        <w:t>“Segunda Convención Colectiva de Trabajo y sus Reformas”, lo que deviene en un trato injusto y discriminatorio, que riñe con las disposiciones de la Política General 18.</w:t>
      </w:r>
    </w:p>
    <w:p w:rsidR="00885725" w:rsidRPr="00885725" w:rsidRDefault="00885725" w:rsidP="00885725">
      <w:pPr>
        <w:jc w:val="both"/>
        <w:rPr>
          <w:rFonts w:ascii="Arial" w:eastAsia="Cambria" w:hAnsi="Arial" w:cs="Arial"/>
          <w:color w:val="000000"/>
          <w:lang w:val="es-ES_tradnl" w:eastAsia="en-US"/>
        </w:rPr>
      </w:pPr>
    </w:p>
    <w:p w:rsidR="00885725" w:rsidRPr="00885725" w:rsidRDefault="00885725" w:rsidP="00885725">
      <w:pPr>
        <w:numPr>
          <w:ilvl w:val="0"/>
          <w:numId w:val="13"/>
        </w:numPr>
        <w:ind w:left="360"/>
        <w:jc w:val="both"/>
        <w:rPr>
          <w:rFonts w:ascii="Arial" w:eastAsia="Cambria" w:hAnsi="Arial" w:cs="Arial"/>
          <w:color w:val="000000"/>
          <w:lang w:val="es-ES_tradnl" w:eastAsia="en-US"/>
        </w:rPr>
      </w:pPr>
      <w:r w:rsidRPr="00885725">
        <w:rPr>
          <w:rFonts w:ascii="Arial" w:eastAsia="Cambria" w:hAnsi="Arial" w:cs="Arial"/>
          <w:color w:val="000000"/>
          <w:lang w:val="es-ES_tradnl" w:eastAsia="en-US"/>
        </w:rPr>
        <w:lastRenderedPageBreak/>
        <w:t>En el marco de la Política General 19, existe la obligación de adoptar las modificaciones reglamentarias necesarias, para eliminar la situación de trato injusto y discriminatorio, señalada en contra de las y los estudiantes.</w:t>
      </w:r>
    </w:p>
    <w:p w:rsidR="00885725" w:rsidRPr="00885725" w:rsidRDefault="00885725" w:rsidP="00885725">
      <w:pPr>
        <w:ind w:left="708"/>
        <w:rPr>
          <w:rFonts w:eastAsia="Calibri" w:cs="Arial"/>
          <w:color w:val="000000"/>
          <w:lang w:val="es-CR"/>
        </w:rPr>
      </w:pPr>
    </w:p>
    <w:p w:rsidR="00885725" w:rsidRPr="00885725" w:rsidRDefault="00885725" w:rsidP="00885725">
      <w:pPr>
        <w:numPr>
          <w:ilvl w:val="0"/>
          <w:numId w:val="13"/>
        </w:numPr>
        <w:ind w:left="360"/>
        <w:jc w:val="both"/>
        <w:rPr>
          <w:rFonts w:ascii="Arial" w:eastAsia="Cambria" w:hAnsi="Arial" w:cs="Arial"/>
          <w:lang w:val="es-ES_tradnl" w:eastAsia="en-US"/>
        </w:rPr>
      </w:pPr>
      <w:r w:rsidRPr="00885725">
        <w:rPr>
          <w:rFonts w:ascii="Arial" w:eastAsia="Cambria" w:hAnsi="Arial" w:cs="Arial"/>
          <w:lang w:val="es-ES_tradnl" w:eastAsia="en-US"/>
        </w:rPr>
        <w:t>El texto propuesto por la Comisión de Asuntos Académicos y Estudiantiles, según acuerdo de la reunión 636-2019, respeta el propósito fundamental de la propuesta original.</w:t>
      </w:r>
    </w:p>
    <w:p w:rsidR="00885725" w:rsidRPr="00885725" w:rsidRDefault="00885725" w:rsidP="00885725">
      <w:pPr>
        <w:jc w:val="both"/>
        <w:rPr>
          <w:rFonts w:ascii="Arial" w:eastAsia="Cambria" w:hAnsi="Arial" w:cs="Arial"/>
          <w:color w:val="000000"/>
          <w:lang w:val="es-CR" w:eastAsia="en-US"/>
        </w:rPr>
      </w:pPr>
    </w:p>
    <w:bookmarkEnd w:id="1"/>
    <w:bookmarkEnd w:id="2"/>
    <w:bookmarkEnd w:id="3"/>
    <w:p w:rsidR="00885725" w:rsidRPr="00885725" w:rsidRDefault="00885725" w:rsidP="00885725">
      <w:pPr>
        <w:jc w:val="both"/>
        <w:rPr>
          <w:rFonts w:ascii="Arial" w:hAnsi="Arial" w:cs="Arial"/>
          <w:b/>
          <w:color w:val="000000"/>
          <w:lang w:val="es-CR"/>
        </w:rPr>
      </w:pPr>
      <w:r w:rsidRPr="00885725">
        <w:rPr>
          <w:rFonts w:ascii="Arial" w:hAnsi="Arial" w:cs="Arial"/>
          <w:b/>
          <w:color w:val="000000"/>
          <w:lang w:val="es-CR"/>
        </w:rPr>
        <w:t>SE</w:t>
      </w:r>
      <w:r>
        <w:rPr>
          <w:rFonts w:ascii="Arial" w:hAnsi="Arial" w:cs="Arial"/>
          <w:b/>
          <w:color w:val="000000"/>
          <w:lang w:val="es-CR"/>
        </w:rPr>
        <w:t xml:space="preserve"> ACUERDA</w:t>
      </w:r>
      <w:r w:rsidRPr="00885725">
        <w:rPr>
          <w:rFonts w:ascii="Arial" w:hAnsi="Arial" w:cs="Arial"/>
          <w:b/>
          <w:color w:val="000000"/>
          <w:lang w:val="es-CR"/>
        </w:rPr>
        <w:t>:</w:t>
      </w:r>
    </w:p>
    <w:p w:rsidR="00885725" w:rsidRPr="00885725" w:rsidRDefault="00885725" w:rsidP="00885725">
      <w:pPr>
        <w:ind w:left="426"/>
        <w:jc w:val="both"/>
        <w:rPr>
          <w:rFonts w:ascii="Arial" w:eastAsia="Cambria" w:hAnsi="Arial" w:cs="Arial"/>
          <w:lang w:val="es-CR" w:eastAsia="en-US"/>
        </w:rPr>
      </w:pPr>
    </w:p>
    <w:p w:rsidR="00885725" w:rsidRPr="00885725" w:rsidRDefault="00885725" w:rsidP="00885725">
      <w:pPr>
        <w:numPr>
          <w:ilvl w:val="0"/>
          <w:numId w:val="17"/>
        </w:numPr>
        <w:ind w:left="567" w:hanging="567"/>
        <w:contextualSpacing/>
        <w:jc w:val="both"/>
        <w:rPr>
          <w:rFonts w:ascii="Arial" w:hAnsi="Arial" w:cs="Arial"/>
          <w:lang w:val="es-CR"/>
        </w:rPr>
      </w:pPr>
      <w:r w:rsidRPr="00885725">
        <w:rPr>
          <w:rFonts w:ascii="Arial" w:hAnsi="Arial" w:cs="Arial"/>
          <w:lang w:val="es-CR"/>
        </w:rPr>
        <w:t>Someter a consulta de la Comunidad Institucional, en general y del Consejo de Docencia, en particular, por un plazo de 20 días hábiles, la propuesta de reforma del Reglamento del Régimen de Enseñanza-Aprendizaje del Instituto Tecnológico de Costa Rica”, consistente en la introducción de un artículo 77 BIS, con el siguiente texto:</w:t>
      </w:r>
    </w:p>
    <w:p w:rsidR="00885725" w:rsidRPr="00885725" w:rsidRDefault="00885725" w:rsidP="00885725">
      <w:pPr>
        <w:contextualSpacing/>
        <w:jc w:val="both"/>
        <w:rPr>
          <w:rFonts w:ascii="Arial" w:hAnsi="Arial" w:cs="Arial"/>
          <w:b/>
          <w:i/>
          <w:lang w:val="es-CR" w:eastAsia="en-US"/>
        </w:rPr>
      </w:pPr>
    </w:p>
    <w:p w:rsidR="00885725" w:rsidRPr="00885725" w:rsidRDefault="00885725" w:rsidP="00885725">
      <w:pPr>
        <w:ind w:left="567" w:right="191"/>
        <w:contextualSpacing/>
        <w:jc w:val="both"/>
        <w:rPr>
          <w:rFonts w:ascii="Arial" w:eastAsia="Calibri" w:hAnsi="Arial" w:cs="Arial"/>
          <w:b/>
          <w:bCs/>
          <w:lang w:val="es-CR" w:eastAsia="en-US"/>
        </w:rPr>
      </w:pPr>
      <w:r w:rsidRPr="00885725">
        <w:rPr>
          <w:rFonts w:ascii="Arial" w:eastAsia="Cambria" w:hAnsi="Arial" w:cs="Arial"/>
          <w:b/>
          <w:lang w:val="es-ES_tradnl" w:eastAsia="en-US"/>
        </w:rPr>
        <w:t>Artículo 77</w:t>
      </w:r>
      <w:r w:rsidRPr="00885725">
        <w:rPr>
          <w:rFonts w:ascii="Arial" w:eastAsia="Calibri" w:hAnsi="Arial" w:cs="Arial"/>
          <w:b/>
          <w:bCs/>
          <w:lang w:val="es-CR" w:eastAsia="en-US"/>
        </w:rPr>
        <w:t xml:space="preserve"> BIS</w:t>
      </w:r>
    </w:p>
    <w:p w:rsidR="00885725" w:rsidRPr="00885725" w:rsidRDefault="00885725" w:rsidP="00885725">
      <w:pPr>
        <w:ind w:left="1418" w:right="191"/>
        <w:contextualSpacing/>
        <w:jc w:val="both"/>
        <w:rPr>
          <w:lang w:val="es-ES_tradnl" w:eastAsia="es-CR"/>
        </w:rPr>
      </w:pPr>
    </w:p>
    <w:p w:rsidR="00885725" w:rsidRPr="00885725" w:rsidRDefault="00885725" w:rsidP="00885725">
      <w:pPr>
        <w:ind w:left="567" w:right="191"/>
        <w:contextualSpacing/>
        <w:jc w:val="both"/>
        <w:rPr>
          <w:rFonts w:ascii="Arial" w:hAnsi="Arial" w:cs="Arial"/>
          <w:lang w:val="es-ES_tradnl" w:eastAsia="es-CR"/>
        </w:rPr>
      </w:pPr>
      <w:r w:rsidRPr="00885725">
        <w:rPr>
          <w:rFonts w:ascii="Arial" w:hAnsi="Arial" w:cs="Arial"/>
          <w:lang w:val="es-ES_tradnl" w:eastAsia="es-CR"/>
        </w:rPr>
        <w:t xml:space="preserve">El Instituto otorgará licencia a las personas estudiantes, en los días subsiguientes inmediatos al evento, </w:t>
      </w:r>
      <w:r w:rsidRPr="00885725">
        <w:rPr>
          <w:rFonts w:ascii="Arial" w:eastAsia="Calibri" w:hAnsi="Arial" w:cs="Arial"/>
          <w:bCs/>
          <w:lang w:val="es-CR" w:eastAsia="en-US"/>
        </w:rPr>
        <w:t>por</w:t>
      </w:r>
      <w:r w:rsidRPr="00885725">
        <w:rPr>
          <w:rFonts w:ascii="Arial" w:hAnsi="Arial" w:cs="Arial"/>
          <w:lang w:val="es-ES_tradnl" w:eastAsia="es-CR"/>
        </w:rPr>
        <w:t xml:space="preserve"> el fallecimiento de su padre, madre, hija(o), hermano(a), cónyuge o compañero(a) de cinco días hábiles, ampliables según análisis y recomendación del Departamento de Orientación y Psicología.  </w:t>
      </w:r>
    </w:p>
    <w:p w:rsidR="00885725" w:rsidRPr="00885725" w:rsidRDefault="00885725" w:rsidP="00885725">
      <w:pPr>
        <w:ind w:left="1418" w:right="191"/>
        <w:contextualSpacing/>
        <w:jc w:val="both"/>
        <w:rPr>
          <w:rFonts w:ascii="Arial" w:hAnsi="Arial" w:cs="Arial"/>
          <w:lang w:val="es-ES_tradnl" w:eastAsia="es-CR"/>
        </w:rPr>
      </w:pPr>
    </w:p>
    <w:p w:rsidR="00885725" w:rsidRPr="00885725" w:rsidRDefault="00885725" w:rsidP="00885725">
      <w:pPr>
        <w:ind w:left="567" w:right="191"/>
        <w:contextualSpacing/>
        <w:jc w:val="both"/>
        <w:rPr>
          <w:rFonts w:ascii="Arial" w:eastAsia="Calibri" w:hAnsi="Arial" w:cs="Arial"/>
          <w:b/>
          <w:bCs/>
          <w:strike/>
          <w:lang w:val="es-CR" w:eastAsia="en-US"/>
        </w:rPr>
      </w:pPr>
      <w:r w:rsidRPr="00885725">
        <w:rPr>
          <w:rFonts w:ascii="Arial" w:hAnsi="Arial" w:cs="Arial"/>
          <w:lang w:val="es-ES_tradnl" w:eastAsia="es-CR"/>
        </w:rPr>
        <w:t>El o la estudiante tendrá derecho a que se le repongan las actividades de evaluación realizadas durante el periodo de la licencia.</w:t>
      </w:r>
    </w:p>
    <w:p w:rsidR="00771F15" w:rsidRDefault="00771F15" w:rsidP="007742A1">
      <w:pPr>
        <w:jc w:val="both"/>
        <w:rPr>
          <w:rFonts w:ascii="Arial" w:eastAsia="Cambria" w:hAnsi="Arial" w:cs="Arial"/>
          <w:lang w:val="es-ES_tradnl" w:eastAsia="en-US"/>
        </w:rPr>
      </w:pPr>
    </w:p>
    <w:p w:rsidR="00917157" w:rsidRPr="008841D4" w:rsidRDefault="000E564F" w:rsidP="008841D4">
      <w:pPr>
        <w:numPr>
          <w:ilvl w:val="0"/>
          <w:numId w:val="17"/>
        </w:numPr>
        <w:ind w:left="567" w:hanging="567"/>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8841D4" w:rsidRDefault="008841D4" w:rsidP="008841D4">
      <w:pPr>
        <w:contextualSpacing/>
        <w:jc w:val="both"/>
        <w:rPr>
          <w:rFonts w:ascii="Arial" w:hAnsi="Arial" w:cs="Arial"/>
          <w:b/>
          <w:lang w:val="es-CR"/>
        </w:rPr>
      </w:pPr>
    </w:p>
    <w:p w:rsidR="008841D4" w:rsidRPr="00885725" w:rsidRDefault="008841D4" w:rsidP="008841D4">
      <w:pPr>
        <w:jc w:val="both"/>
        <w:rPr>
          <w:rFonts w:ascii="Arial" w:eastAsia="Cambria" w:hAnsi="Arial" w:cs="Arial"/>
          <w:b/>
          <w:color w:val="000000"/>
          <w:sz w:val="22"/>
          <w:lang w:val="es-ES_tradnl" w:eastAsia="en-US"/>
        </w:rPr>
      </w:pPr>
      <w:r w:rsidRPr="00885725">
        <w:rPr>
          <w:rFonts w:ascii="Arial" w:eastAsia="Cambria" w:hAnsi="Arial" w:cs="Arial"/>
          <w:b/>
          <w:color w:val="000000"/>
          <w:sz w:val="22"/>
          <w:lang w:val="es-ES_tradnl" w:eastAsia="en-US"/>
        </w:rPr>
        <w:t>Palabras Clave: licencia para estudiantes - Reglamento – Enseñanza- Aprendizaje – artículo 77 BIS</w:t>
      </w:r>
    </w:p>
    <w:p w:rsidR="008841D4" w:rsidRPr="008841D4" w:rsidRDefault="008841D4" w:rsidP="008841D4">
      <w:pPr>
        <w:contextualSpacing/>
        <w:jc w:val="both"/>
        <w:rPr>
          <w:rFonts w:ascii="Arial" w:hAnsi="Arial" w:cs="Arial"/>
          <w:lang w:val="es-ES_tradnl"/>
        </w:rPr>
      </w:pPr>
    </w:p>
    <w:p w:rsidR="00B12317" w:rsidRDefault="00B12317" w:rsidP="00B12317">
      <w:pPr>
        <w:ind w:right="-91"/>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43" w:rsidRDefault="000F4343">
      <w:r>
        <w:separator/>
      </w:r>
    </w:p>
  </w:endnote>
  <w:endnote w:type="continuationSeparator" w:id="0">
    <w:p w:rsidR="000F4343" w:rsidRDefault="000F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43" w:rsidRDefault="000F4343">
      <w:r>
        <w:separator/>
      </w:r>
    </w:p>
  </w:footnote>
  <w:footnote w:type="continuationSeparator" w:id="0">
    <w:p w:rsidR="000F4343" w:rsidRDefault="000F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A787F">
      <w:rPr>
        <w:rFonts w:ascii="Arial" w:eastAsia="Cambria" w:hAnsi="Arial" w:cs="Arial"/>
        <w:i/>
        <w:sz w:val="18"/>
        <w:szCs w:val="18"/>
        <w:lang w:val="es-ES_tradnl" w:eastAsia="x-none"/>
      </w:rPr>
      <w:t>3</w:t>
    </w:r>
    <w:r w:rsidR="004B5364">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84085F">
      <w:rPr>
        <w:rFonts w:ascii="Arial" w:eastAsia="Cambria" w:hAnsi="Arial" w:cs="Arial"/>
        <w:i/>
        <w:sz w:val="18"/>
        <w:szCs w:val="18"/>
        <w:lang w:val="es-ES_tradnl" w:eastAsia="x-none"/>
      </w:rPr>
      <w:t>8</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4B5364">
      <w:rPr>
        <w:rFonts w:ascii="Arial" w:eastAsia="Cambria" w:hAnsi="Arial" w:cs="Arial"/>
        <w:i/>
        <w:sz w:val="18"/>
        <w:szCs w:val="18"/>
        <w:lang w:val="es-ES_tradnl" w:eastAsia="x-none"/>
      </w:rPr>
      <w:t>21</w:t>
    </w:r>
    <w:r w:rsidR="000A787F">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841D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235AC"/>
    <w:multiLevelType w:val="hybridMultilevel"/>
    <w:tmpl w:val="8B6C3B9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C31ADC"/>
    <w:multiLevelType w:val="hybridMultilevel"/>
    <w:tmpl w:val="6D7CA12A"/>
    <w:lvl w:ilvl="0" w:tplc="55482EAA">
      <w:start w:val="1"/>
      <w:numFmt w:val="lowerLetter"/>
      <w:lvlText w:val="%1."/>
      <w:lvlJc w:val="left"/>
      <w:pPr>
        <w:ind w:left="1068" w:hanging="360"/>
      </w:pPr>
      <w:rPr>
        <w:b/>
        <w:i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31996F7D"/>
    <w:multiLevelType w:val="hybridMultilevel"/>
    <w:tmpl w:val="011014A8"/>
    <w:lvl w:ilvl="0" w:tplc="D64CE136">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A37956"/>
    <w:multiLevelType w:val="hybridMultilevel"/>
    <w:tmpl w:val="B040259E"/>
    <w:lvl w:ilvl="0" w:tplc="CF86C8BC">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0E42948"/>
    <w:multiLevelType w:val="hybridMultilevel"/>
    <w:tmpl w:val="E6A85BD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2"/>
  </w:num>
  <w:num w:numId="5">
    <w:abstractNumId w:val="16"/>
  </w:num>
  <w:num w:numId="6">
    <w:abstractNumId w:val="10"/>
  </w:num>
  <w:num w:numId="7">
    <w:abstractNumId w:val="5"/>
  </w:num>
  <w:num w:numId="8">
    <w:abstractNumId w:val="7"/>
  </w:num>
  <w:num w:numId="9">
    <w:abstractNumId w:val="6"/>
  </w:num>
  <w:num w:numId="10">
    <w:abstractNumId w:val="3"/>
  </w:num>
  <w:num w:numId="11">
    <w:abstractNumId w:val="11"/>
  </w:num>
  <w:num w:numId="12">
    <w:abstractNumId w:val="13"/>
  </w:num>
  <w:num w:numId="13">
    <w:abstractNumId w:val="8"/>
  </w:num>
  <w:num w:numId="14">
    <w:abstractNumId w:val="9"/>
  </w:num>
  <w:num w:numId="15">
    <w:abstractNumId w:val="2"/>
  </w:num>
  <w:num w:numId="16">
    <w:abstractNumId w:val="15"/>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5364"/>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58C0"/>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5725"/>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591"/>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11D1"/>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D41A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BAC4-5B4E-464A-B4CC-1816A7D5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188</cp:revision>
  <cp:lastPrinted>2019-08-14T19:53:00Z</cp:lastPrinted>
  <dcterms:created xsi:type="dcterms:W3CDTF">2018-05-02T21:37:00Z</dcterms:created>
  <dcterms:modified xsi:type="dcterms:W3CDTF">2019-08-21T16:33:00Z</dcterms:modified>
</cp:coreProperties>
</file>