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E2357C">
        <w:rPr>
          <w:rFonts w:ascii="Arial" w:hAnsi="Arial" w:cs="Arial"/>
          <w:b/>
          <w:bCs/>
          <w:iCs/>
          <w:sz w:val="26"/>
          <w:szCs w:val="22"/>
          <w:lang w:val="es-CR"/>
        </w:rPr>
        <w:t>1284</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p w:rsidR="003F2318" w:rsidRDefault="003F2318" w:rsidP="003F2318">
      <w:pPr>
        <w:ind w:left="1418" w:hanging="992"/>
        <w:jc w:val="both"/>
        <w:rPr>
          <w:rFonts w:ascii="Arial" w:eastAsia="Cambria" w:hAnsi="Arial" w:cs="Arial"/>
          <w:sz w:val="22"/>
          <w:szCs w:val="22"/>
          <w:lang w:val="es-ES_tradnl" w:eastAsia="en-US"/>
        </w:rPr>
      </w:pPr>
      <w:r>
        <w:rPr>
          <w:rFonts w:ascii="Arial" w:eastAsia="SimSun" w:hAnsi="Arial" w:cs="Arial"/>
          <w:b/>
          <w:iCs/>
          <w:lang w:val="es-ES_tradnl" w:eastAsia="en-US"/>
        </w:rPr>
        <w:t>Pa</w:t>
      </w:r>
      <w:r w:rsidRPr="00D958BC">
        <w:rPr>
          <w:rFonts w:ascii="Arial" w:eastAsia="SimSun" w:hAnsi="Arial" w:cs="Arial"/>
          <w:b/>
          <w:iCs/>
          <w:lang w:val="es-ES_tradnl" w:eastAsia="en-US"/>
        </w:rPr>
        <w:t>ra:</w:t>
      </w:r>
      <w:r>
        <w:rPr>
          <w:rFonts w:ascii="Arial" w:eastAsia="SimSun" w:hAnsi="Arial" w:cs="Arial"/>
          <w:b/>
          <w:iCs/>
          <w:lang w:val="es-ES_tradnl" w:eastAsia="en-US"/>
        </w:rPr>
        <w:tab/>
      </w:r>
      <w:r w:rsidRPr="00771F15">
        <w:rPr>
          <w:rFonts w:ascii="Arial" w:eastAsia="Cambria" w:hAnsi="Arial" w:cs="Arial"/>
          <w:sz w:val="22"/>
          <w:szCs w:val="22"/>
          <w:lang w:val="es-ES_tradnl" w:eastAsia="en-US"/>
        </w:rPr>
        <w:t>Ing. Luis Paulino Méndez Badilla, Rector</w:t>
      </w:r>
    </w:p>
    <w:p w:rsidR="003F2318" w:rsidRDefault="003F2318" w:rsidP="003F2318">
      <w:pPr>
        <w:ind w:left="1418" w:hanging="2"/>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Solano, Vicerrector de Administración</w:t>
      </w:r>
    </w:p>
    <w:p w:rsidR="003F2318" w:rsidRDefault="003F2318" w:rsidP="003F2318">
      <w:pPr>
        <w:ind w:left="708" w:firstLine="708"/>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 Oscar López Villegas, Director Campus Tecnológico Local San Carlos </w:t>
      </w:r>
    </w:p>
    <w:p w:rsidR="003F2318" w:rsidRDefault="003F2318" w:rsidP="003F2318">
      <w:pPr>
        <w:ind w:left="708" w:firstLine="708"/>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M.A.E. Kathya Calderón Mora, Directora Departamento Aprovisionamiento</w:t>
      </w:r>
    </w:p>
    <w:p w:rsidR="003F2318" w:rsidRDefault="003F2318" w:rsidP="003F2318">
      <w:pPr>
        <w:ind w:left="708" w:firstLine="708"/>
        <w:jc w:val="both"/>
        <w:rPr>
          <w:rFonts w:ascii="Arial" w:eastAsia="MS Mincho" w:hAnsi="Arial" w:cs="Arial"/>
          <w:sz w:val="22"/>
          <w:szCs w:val="22"/>
        </w:rPr>
      </w:pPr>
      <w:r w:rsidRPr="00117962">
        <w:rPr>
          <w:rFonts w:ascii="Arial" w:eastAsia="MS Mincho" w:hAnsi="Arial" w:cs="Arial"/>
          <w:sz w:val="22"/>
          <w:szCs w:val="22"/>
        </w:rPr>
        <w:t xml:space="preserve">Bach. Dennis Méndez Palma, Coordinador </w:t>
      </w:r>
    </w:p>
    <w:p w:rsidR="003F2318" w:rsidRDefault="003F2318" w:rsidP="003F2318">
      <w:pPr>
        <w:ind w:left="708" w:firstLine="708"/>
        <w:jc w:val="both"/>
        <w:rPr>
          <w:rFonts w:ascii="Arial" w:eastAsia="MS Mincho" w:hAnsi="Arial" w:cs="Arial"/>
          <w:sz w:val="22"/>
          <w:szCs w:val="22"/>
        </w:rPr>
      </w:pPr>
      <w:r w:rsidRPr="00117962">
        <w:rPr>
          <w:rFonts w:ascii="Arial" w:eastAsia="MS Mincho" w:hAnsi="Arial" w:cs="Arial"/>
          <w:sz w:val="22"/>
          <w:szCs w:val="22"/>
        </w:rPr>
        <w:t xml:space="preserve">Unidad de Servicios Generales, </w:t>
      </w:r>
      <w:r>
        <w:rPr>
          <w:rFonts w:ascii="Arial" w:eastAsia="MS Mincho" w:hAnsi="Arial" w:cs="Arial"/>
          <w:sz w:val="22"/>
          <w:szCs w:val="22"/>
        </w:rPr>
        <w:t>Campus Tecnológico Local</w:t>
      </w:r>
      <w:r w:rsidRPr="00117962">
        <w:rPr>
          <w:rFonts w:ascii="Arial" w:eastAsia="MS Mincho" w:hAnsi="Arial" w:cs="Arial"/>
          <w:sz w:val="22"/>
          <w:szCs w:val="22"/>
        </w:rPr>
        <w:t xml:space="preserve"> San Carlos</w:t>
      </w:r>
    </w:p>
    <w:p w:rsidR="003F2318" w:rsidRPr="00256C13" w:rsidRDefault="003F2318" w:rsidP="00C022F4">
      <w:pPr>
        <w:tabs>
          <w:tab w:val="left" w:pos="1528"/>
        </w:tabs>
        <w:ind w:left="216"/>
        <w:rPr>
          <w:rFonts w:ascii="Arial" w:eastAsia="Cambria" w:hAnsi="Arial" w:cs="Arial"/>
          <w:sz w:val="22"/>
          <w:szCs w:val="22"/>
          <w:lang w:val="es-ES_tradnl" w:eastAsia="en-US"/>
        </w:rPr>
      </w:pPr>
    </w:p>
    <w:p w:rsidR="003F2318" w:rsidRPr="008E0D8C" w:rsidRDefault="003F2318" w:rsidP="003F2318">
      <w:pPr>
        <w:ind w:left="426"/>
        <w:jc w:val="both"/>
        <w:rPr>
          <w:rFonts w:ascii="Arial" w:eastAsia="Cambria" w:hAnsi="Arial" w:cs="Arial"/>
          <w:sz w:val="22"/>
          <w:szCs w:val="22"/>
          <w:lang w:val="es-ES_tradnl" w:eastAsia="en-US"/>
        </w:rPr>
      </w:pPr>
      <w:r w:rsidRPr="00D958BC">
        <w:rPr>
          <w:rFonts w:ascii="Arial" w:eastAsia="SimSun" w:hAnsi="Arial" w:cs="Arial"/>
          <w:b/>
          <w:lang w:val="es-ES_tradnl" w:eastAsia="en-US"/>
        </w:rPr>
        <w:t xml:space="preserve">De: </w:t>
      </w:r>
      <w:r w:rsidRPr="00D958BC">
        <w:rPr>
          <w:rFonts w:ascii="Arial" w:eastAsia="SimSun" w:hAnsi="Arial" w:cs="Arial"/>
          <w:b/>
          <w:lang w:val="es-ES_tradnl" w:eastAsia="en-US"/>
        </w:rPr>
        <w:tab/>
      </w:r>
      <w:r>
        <w:rPr>
          <w:rFonts w:ascii="Arial" w:eastAsia="Cambria" w:hAnsi="Arial" w:cs="Arial"/>
          <w:sz w:val="22"/>
          <w:szCs w:val="22"/>
          <w:lang w:val="es-ES_tradnl" w:eastAsia="en-US"/>
        </w:rPr>
        <w:t>M.A.E. Ana Damaris Quesada Murillo</w:t>
      </w:r>
      <w:r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Directora Ejecutiva </w:t>
      </w:r>
    </w:p>
    <w:p w:rsidR="003F2318" w:rsidRPr="008E0D8C" w:rsidRDefault="003F2318" w:rsidP="003F2318">
      <w:pPr>
        <w:tabs>
          <w:tab w:val="left" w:pos="1418"/>
        </w:tabs>
        <w:ind w:left="216"/>
        <w:rPr>
          <w:rFonts w:ascii="Arial" w:eastAsia="Cambria" w:hAnsi="Arial" w:cs="Arial"/>
          <w:sz w:val="22"/>
          <w:szCs w:val="22"/>
          <w:lang w:val="es-ES_tradnl" w:eastAsia="en-US"/>
        </w:rPr>
      </w:pPr>
      <w:r>
        <w:rPr>
          <w:rFonts w:ascii="Arial" w:eastAsia="Cambria" w:hAnsi="Arial" w:cs="Arial"/>
          <w:sz w:val="22"/>
          <w:szCs w:val="22"/>
          <w:lang w:val="es-ES_tradnl" w:eastAsia="en-US"/>
        </w:rPr>
        <w:tab/>
        <w:t xml:space="preserve">Secretaría del </w:t>
      </w:r>
      <w:r w:rsidRPr="008E0D8C">
        <w:rPr>
          <w:rFonts w:ascii="Arial" w:eastAsia="Cambria" w:hAnsi="Arial" w:cs="Arial"/>
          <w:sz w:val="22"/>
          <w:szCs w:val="22"/>
          <w:lang w:val="es-ES_tradnl" w:eastAsia="en-US"/>
        </w:rPr>
        <w:t>Consejo Institucional</w:t>
      </w:r>
    </w:p>
    <w:p w:rsidR="003F2318" w:rsidRDefault="003F2318" w:rsidP="000B5852">
      <w:pPr>
        <w:jc w:val="both"/>
        <w:rPr>
          <w:rFonts w:ascii="Arial" w:eastAsia="Cambria" w:hAnsi="Arial" w:cs="Arial"/>
          <w:b/>
          <w:sz w:val="22"/>
          <w:szCs w:val="22"/>
          <w:lang w:val="es-ES_tradnl" w:eastAsia="en-US"/>
        </w:rPr>
      </w:pPr>
      <w:r w:rsidRPr="00D958BC">
        <w:rPr>
          <w:rFonts w:ascii="Arial" w:eastAsia="SimSun" w:hAnsi="Arial" w:cs="Arial"/>
          <w:b/>
          <w:lang w:val="es-ES_tradnl" w:eastAsia="en-US"/>
        </w:rPr>
        <w:tab/>
      </w:r>
    </w:p>
    <w:p w:rsidR="003F2318" w:rsidRPr="008E0D8C" w:rsidRDefault="003F2318" w:rsidP="000B5852">
      <w:pPr>
        <w:tabs>
          <w:tab w:val="left" w:pos="1528"/>
        </w:tabs>
        <w:ind w:left="216"/>
        <w:rPr>
          <w:rFonts w:ascii="Arial" w:eastAsia="Cambria" w:hAnsi="Arial" w:cs="Arial"/>
          <w:b/>
          <w:sz w:val="22"/>
          <w:szCs w:val="22"/>
          <w:lang w:val="es-ES_tradnl" w:eastAsia="en-US"/>
        </w:rPr>
      </w:pPr>
    </w:p>
    <w:p w:rsidR="003F2318" w:rsidRPr="003F2318" w:rsidRDefault="003F2318" w:rsidP="003F2318">
      <w:pPr>
        <w:ind w:left="426"/>
        <w:jc w:val="both"/>
        <w:rPr>
          <w:rFonts w:ascii="Arial" w:eastAsia="SimSun" w:hAnsi="Arial" w:cs="Arial"/>
          <w:b/>
          <w:lang w:val="es-ES_tradnl" w:eastAsia="en-US"/>
        </w:rPr>
      </w:pPr>
      <w:r w:rsidRPr="003F2318">
        <w:rPr>
          <w:rFonts w:ascii="Arial" w:eastAsia="SimSun" w:hAnsi="Arial" w:cs="Arial"/>
          <w:b/>
          <w:lang w:val="es-ES_tradnl" w:eastAsia="en-US"/>
        </w:rPr>
        <w:t>Asunto:</w:t>
      </w:r>
      <w:r w:rsidRPr="003F2318">
        <w:rPr>
          <w:rFonts w:ascii="Arial" w:eastAsia="SimSun" w:hAnsi="Arial" w:cs="Arial"/>
          <w:b/>
          <w:lang w:val="es-ES_tradnl" w:eastAsia="en-US"/>
        </w:rPr>
        <w:tab/>
        <w:t xml:space="preserve">Sesión Ordinaria No. 3148, Artículo 8 del 20 de noviembre de 2019.  </w:t>
      </w:r>
    </w:p>
    <w:p w:rsidR="003F2318" w:rsidRPr="003F2318" w:rsidRDefault="003F2318" w:rsidP="003F2318">
      <w:pPr>
        <w:ind w:left="1416"/>
        <w:jc w:val="both"/>
        <w:rPr>
          <w:rFonts w:ascii="Arial" w:eastAsia="SimSun" w:hAnsi="Arial" w:cs="Arial"/>
          <w:b/>
          <w:lang w:val="es-ES_tradnl" w:eastAsia="en-US"/>
        </w:rPr>
      </w:pPr>
      <w:r w:rsidRPr="003F2318">
        <w:rPr>
          <w:rFonts w:ascii="Arial" w:eastAsia="SimSun" w:hAnsi="Arial" w:cs="Arial"/>
          <w:b/>
          <w:lang w:val="es-ES_tradnl" w:eastAsia="en-US"/>
        </w:rPr>
        <w:t xml:space="preserve">Licitación Pública N°2019-LN000002-APITCR “Servicio de Mantenimiento Preventivo y Correctivo General del Campus Tecnológico Local San Carlos”.  </w:t>
      </w:r>
    </w:p>
    <w:p w:rsidR="003F2318" w:rsidRPr="008018AD" w:rsidRDefault="003F2318" w:rsidP="003F2318">
      <w:pPr>
        <w:tabs>
          <w:tab w:val="left" w:pos="1528"/>
        </w:tabs>
        <w:ind w:left="216" w:right="176"/>
        <w:rPr>
          <w:rFonts w:ascii="Arial" w:eastAsia="Calibri" w:hAnsi="Arial" w:cs="Arial"/>
          <w:b/>
          <w:sz w:val="22"/>
          <w:szCs w:val="22"/>
        </w:rPr>
      </w:pPr>
    </w:p>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5D6078" w:rsidRDefault="005D6078" w:rsidP="007742A1">
      <w:pPr>
        <w:jc w:val="both"/>
        <w:rPr>
          <w:rFonts w:ascii="Arial" w:eastAsia="Cambria" w:hAnsi="Arial" w:cs="Arial"/>
          <w:lang w:val="es-ES_tradnl" w:eastAsia="en-US"/>
        </w:rPr>
      </w:pPr>
    </w:p>
    <w:p w:rsidR="00117962" w:rsidRPr="00117962" w:rsidRDefault="00117962" w:rsidP="00117962">
      <w:pPr>
        <w:jc w:val="both"/>
        <w:outlineLvl w:val="0"/>
        <w:rPr>
          <w:rFonts w:ascii="Arial" w:hAnsi="Arial" w:cs="Arial"/>
          <w:b/>
          <w:sz w:val="22"/>
          <w:szCs w:val="22"/>
        </w:rPr>
      </w:pPr>
      <w:r w:rsidRPr="00117962">
        <w:rPr>
          <w:rFonts w:ascii="Arial" w:hAnsi="Arial" w:cs="Arial"/>
          <w:b/>
          <w:sz w:val="22"/>
          <w:szCs w:val="22"/>
        </w:rPr>
        <w:t>RESULTANDO QUE:</w:t>
      </w:r>
    </w:p>
    <w:p w:rsidR="00117962" w:rsidRPr="00117962" w:rsidRDefault="00117962" w:rsidP="00117962">
      <w:pPr>
        <w:tabs>
          <w:tab w:val="left" w:pos="7112"/>
        </w:tabs>
        <w:ind w:left="1276" w:hanging="1276"/>
        <w:jc w:val="both"/>
        <w:rPr>
          <w:rFonts w:ascii="Arial" w:eastAsia="MS Mincho" w:hAnsi="Arial" w:cs="Arial"/>
          <w:b/>
          <w:iCs/>
          <w:sz w:val="20"/>
          <w:szCs w:val="20"/>
          <w:lang w:val="es-CR"/>
        </w:rPr>
      </w:pPr>
      <w:r w:rsidRPr="00117962">
        <w:rPr>
          <w:rFonts w:ascii="Arial" w:eastAsia="MS Mincho" w:hAnsi="Arial" w:cs="Arial"/>
          <w:b/>
          <w:iCs/>
          <w:sz w:val="20"/>
          <w:szCs w:val="20"/>
          <w:lang w:val="es-CR"/>
        </w:rPr>
        <w:tab/>
      </w:r>
      <w:r w:rsidRPr="00117962">
        <w:rPr>
          <w:rFonts w:ascii="Arial" w:eastAsia="MS Mincho" w:hAnsi="Arial" w:cs="Arial"/>
          <w:b/>
          <w:iCs/>
          <w:sz w:val="20"/>
          <w:szCs w:val="20"/>
          <w:lang w:val="es-CR"/>
        </w:rPr>
        <w:tab/>
      </w:r>
    </w:p>
    <w:p w:rsidR="00117962" w:rsidRPr="00117962" w:rsidRDefault="00117962" w:rsidP="00117962">
      <w:pPr>
        <w:numPr>
          <w:ilvl w:val="0"/>
          <w:numId w:val="20"/>
        </w:numPr>
        <w:tabs>
          <w:tab w:val="left" w:pos="0"/>
        </w:tabs>
        <w:ind w:left="392"/>
        <w:contextualSpacing/>
        <w:jc w:val="both"/>
        <w:outlineLvl w:val="0"/>
        <w:rPr>
          <w:rFonts w:ascii="Arial" w:hAnsi="Arial" w:cs="Arial"/>
          <w:lang w:val="es-CR"/>
        </w:rPr>
      </w:pPr>
      <w:r w:rsidRPr="00117962">
        <w:rPr>
          <w:rFonts w:ascii="Arial" w:hAnsi="Arial" w:cs="Arial"/>
          <w:lang w:val="es-CR"/>
        </w:rPr>
        <w:t>El artículo 18, inciso h del Estatuto Orgánico del Instituto Tecnológico de Costa Rica, señala:</w:t>
      </w:r>
    </w:p>
    <w:p w:rsidR="00117962" w:rsidRPr="00117962" w:rsidRDefault="00117962" w:rsidP="00117962">
      <w:pPr>
        <w:tabs>
          <w:tab w:val="left" w:pos="0"/>
          <w:tab w:val="center" w:pos="4986"/>
        </w:tabs>
        <w:ind w:left="567"/>
        <w:contextualSpacing/>
        <w:jc w:val="both"/>
        <w:outlineLvl w:val="0"/>
        <w:rPr>
          <w:rFonts w:ascii="Verdana" w:hAnsi="Verdana"/>
          <w:sz w:val="20"/>
          <w:szCs w:val="20"/>
          <w:lang w:val="es-CR"/>
        </w:rPr>
      </w:pPr>
    </w:p>
    <w:p w:rsidR="00117962" w:rsidRPr="00117962" w:rsidRDefault="00117962" w:rsidP="00117962">
      <w:pPr>
        <w:tabs>
          <w:tab w:val="left" w:pos="709"/>
          <w:tab w:val="center" w:pos="4986"/>
        </w:tabs>
        <w:ind w:left="851" w:hanging="142"/>
        <w:contextualSpacing/>
        <w:jc w:val="both"/>
        <w:outlineLvl w:val="0"/>
        <w:rPr>
          <w:rFonts w:ascii="Arial" w:hAnsi="Arial" w:cs="Arial"/>
          <w:i/>
          <w:sz w:val="22"/>
          <w:szCs w:val="22"/>
          <w:lang w:val="es-CR"/>
        </w:rPr>
      </w:pPr>
      <w:r w:rsidRPr="00117962">
        <w:rPr>
          <w:rFonts w:ascii="Arial" w:hAnsi="Arial" w:cs="Arial"/>
          <w:i/>
          <w:sz w:val="22"/>
          <w:szCs w:val="22"/>
          <w:lang w:val="es-CR"/>
        </w:rPr>
        <w:t>“Son funciones del Consejo Institucional:</w:t>
      </w:r>
    </w:p>
    <w:p w:rsidR="00117962" w:rsidRPr="00117962" w:rsidRDefault="00117962" w:rsidP="00117962">
      <w:pPr>
        <w:tabs>
          <w:tab w:val="left" w:pos="709"/>
          <w:tab w:val="center" w:pos="4986"/>
        </w:tabs>
        <w:ind w:left="851"/>
        <w:contextualSpacing/>
        <w:jc w:val="both"/>
        <w:outlineLvl w:val="0"/>
        <w:rPr>
          <w:rFonts w:ascii="Arial" w:hAnsi="Arial" w:cs="Arial"/>
          <w:i/>
          <w:sz w:val="22"/>
          <w:szCs w:val="22"/>
          <w:lang w:val="es-CR"/>
        </w:rPr>
      </w:pPr>
      <w:r w:rsidRPr="00117962">
        <w:rPr>
          <w:rFonts w:ascii="Arial" w:hAnsi="Arial" w:cs="Arial"/>
          <w:i/>
          <w:sz w:val="22"/>
          <w:szCs w:val="22"/>
          <w:lang w:val="es-CR"/>
        </w:rPr>
        <w:t>…</w:t>
      </w:r>
    </w:p>
    <w:p w:rsidR="00117962" w:rsidRPr="00117962" w:rsidRDefault="00117962" w:rsidP="00117962">
      <w:pPr>
        <w:ind w:left="1134" w:right="448" w:hanging="283"/>
        <w:contextualSpacing/>
        <w:jc w:val="both"/>
        <w:outlineLvl w:val="0"/>
        <w:rPr>
          <w:rFonts w:ascii="Arial" w:hAnsi="Arial" w:cs="Arial"/>
          <w:i/>
          <w:sz w:val="22"/>
          <w:szCs w:val="22"/>
          <w:lang w:val="es-CR"/>
        </w:rPr>
      </w:pPr>
      <w:r w:rsidRPr="00117962">
        <w:rPr>
          <w:rFonts w:ascii="Arial" w:hAnsi="Arial" w:cs="Arial"/>
          <w:i/>
          <w:sz w:val="22"/>
          <w:szCs w:val="22"/>
          <w:lang w:val="es-CR"/>
        </w:rPr>
        <w:t>h. Decidir sobre las licitaciones públicas según lo estipulado en el reglamento correspondiente</w:t>
      </w:r>
    </w:p>
    <w:p w:rsidR="00117962" w:rsidRPr="00117962" w:rsidRDefault="00117962" w:rsidP="00117962">
      <w:pPr>
        <w:ind w:left="1134" w:right="448" w:hanging="283"/>
        <w:contextualSpacing/>
        <w:jc w:val="both"/>
        <w:outlineLvl w:val="0"/>
        <w:rPr>
          <w:rFonts w:ascii="Arial" w:hAnsi="Arial" w:cs="Arial"/>
          <w:i/>
          <w:sz w:val="22"/>
          <w:szCs w:val="22"/>
          <w:lang w:val="es-CR"/>
        </w:rPr>
      </w:pPr>
      <w:r w:rsidRPr="00117962">
        <w:rPr>
          <w:rFonts w:ascii="Arial" w:hAnsi="Arial" w:cs="Arial"/>
          <w:i/>
          <w:sz w:val="22"/>
          <w:szCs w:val="22"/>
          <w:lang w:val="es-CR"/>
        </w:rPr>
        <w:t>…”</w:t>
      </w:r>
      <w:r w:rsidRPr="00117962">
        <w:rPr>
          <w:rFonts w:ascii="Verdana" w:hAnsi="Verdana"/>
          <w:color w:val="000000"/>
          <w:sz w:val="20"/>
          <w:szCs w:val="20"/>
        </w:rPr>
        <w:br/>
      </w:r>
    </w:p>
    <w:p w:rsidR="00117962" w:rsidRPr="00117962" w:rsidRDefault="00117962" w:rsidP="00117962">
      <w:pPr>
        <w:jc w:val="both"/>
        <w:outlineLvl w:val="0"/>
        <w:rPr>
          <w:rFonts w:ascii="Arial" w:hAnsi="Arial" w:cs="Arial"/>
          <w:b/>
          <w:sz w:val="22"/>
          <w:szCs w:val="22"/>
        </w:rPr>
      </w:pPr>
      <w:r w:rsidRPr="00117962">
        <w:rPr>
          <w:rFonts w:ascii="Arial" w:hAnsi="Arial" w:cs="Arial"/>
          <w:b/>
          <w:sz w:val="22"/>
          <w:szCs w:val="22"/>
        </w:rPr>
        <w:t>CONSIDERANDO QUE:</w:t>
      </w:r>
    </w:p>
    <w:p w:rsidR="00117962" w:rsidRPr="00117962" w:rsidRDefault="00117962" w:rsidP="00117962">
      <w:pPr>
        <w:contextualSpacing/>
        <w:jc w:val="both"/>
        <w:outlineLvl w:val="0"/>
        <w:rPr>
          <w:rFonts w:ascii="Arial" w:hAnsi="Arial" w:cs="Arial"/>
          <w:b/>
          <w:sz w:val="16"/>
          <w:szCs w:val="16"/>
        </w:rPr>
      </w:pPr>
      <w:r w:rsidRPr="00117962">
        <w:rPr>
          <w:rFonts w:ascii="Arial" w:hAnsi="Arial" w:cs="Arial"/>
          <w:b/>
          <w:sz w:val="16"/>
          <w:szCs w:val="16"/>
        </w:rPr>
        <w:t xml:space="preserve"> </w:t>
      </w:r>
    </w:p>
    <w:p w:rsidR="00117962" w:rsidRPr="00117962" w:rsidRDefault="00117962" w:rsidP="00117962">
      <w:pPr>
        <w:numPr>
          <w:ilvl w:val="0"/>
          <w:numId w:val="30"/>
        </w:numPr>
        <w:tabs>
          <w:tab w:val="left" w:pos="0"/>
        </w:tabs>
        <w:contextualSpacing/>
        <w:jc w:val="both"/>
        <w:outlineLvl w:val="0"/>
        <w:rPr>
          <w:rFonts w:ascii="Arial" w:hAnsi="Arial" w:cs="Arial"/>
        </w:rPr>
      </w:pPr>
      <w:r w:rsidRPr="00117962">
        <w:rPr>
          <w:rFonts w:ascii="Arial" w:hAnsi="Arial" w:cs="Arial"/>
          <w:bCs/>
        </w:rPr>
        <w:t xml:space="preserve">La </w:t>
      </w:r>
      <w:r w:rsidRPr="00117962">
        <w:rPr>
          <w:rFonts w:ascii="Arial" w:hAnsi="Arial" w:cs="Arial"/>
          <w:bCs/>
          <w:lang w:val="es-CR"/>
        </w:rPr>
        <w:t>Secretaría</w:t>
      </w:r>
      <w:r w:rsidRPr="00117962">
        <w:rPr>
          <w:rFonts w:ascii="Arial" w:hAnsi="Arial" w:cs="Arial"/>
          <w:bCs/>
        </w:rPr>
        <w:t xml:space="preserve"> del Consejo Institucional, recibe oficio VAD-575-2019, con fecha de </w:t>
      </w:r>
      <w:r w:rsidRPr="00117962">
        <w:rPr>
          <w:rFonts w:ascii="Arial" w:hAnsi="Arial" w:cs="Arial"/>
          <w:lang w:val="es-CR"/>
        </w:rPr>
        <w:t>recibido</w:t>
      </w:r>
      <w:r w:rsidRPr="00117962">
        <w:rPr>
          <w:rFonts w:ascii="Arial" w:hAnsi="Arial" w:cs="Arial"/>
          <w:bCs/>
        </w:rPr>
        <w:t xml:space="preserve"> 25 de octubre de 2019, </w:t>
      </w:r>
      <w:r w:rsidRPr="00117962">
        <w:rPr>
          <w:rFonts w:ascii="Arial" w:hAnsi="Arial" w:cs="Arial"/>
        </w:rPr>
        <w:t>suscrito por el Dr. Luis Humberto Villalta Solano, Vicerrector de Administración, dirigido al M.A.E. Nelson Ortega Jiménez, Coordinador de la Comisión de Planificación y Administración, con copia al Consejo Institucional, en el cual remite Informe de Adjudicación de la Licitación Pública No. 2019LN-000002-APITCR “Servicio de Mantenimiento Preventivo y Correctivo General del Campus Tecnológico Local San Carlos”.</w:t>
      </w:r>
      <w:r w:rsidRPr="00117962">
        <w:rPr>
          <w:rFonts w:ascii="Arial" w:hAnsi="Arial" w:cs="Arial"/>
          <w:bCs/>
        </w:rPr>
        <w:t xml:space="preserve">  </w:t>
      </w:r>
      <w:r w:rsidRPr="00117962">
        <w:rPr>
          <w:rFonts w:ascii="Arial" w:hAnsi="Arial" w:cs="Arial"/>
        </w:rPr>
        <w:t>En el mismo oficio se adjunta el análisis de la Oficina de Asesoría Legal, según memorando AL-572-2019.</w:t>
      </w:r>
    </w:p>
    <w:p w:rsidR="00117962" w:rsidRPr="00117962" w:rsidRDefault="00117962" w:rsidP="00117962">
      <w:pPr>
        <w:tabs>
          <w:tab w:val="left" w:pos="0"/>
        </w:tabs>
        <w:contextualSpacing/>
        <w:jc w:val="both"/>
        <w:outlineLvl w:val="0"/>
        <w:rPr>
          <w:rFonts w:ascii="Arial" w:hAnsi="Arial" w:cs="Arial"/>
          <w:sz w:val="16"/>
          <w:szCs w:val="16"/>
          <w:highlight w:val="yellow"/>
        </w:rPr>
      </w:pPr>
    </w:p>
    <w:p w:rsidR="00117962" w:rsidRPr="00117962" w:rsidRDefault="00117962" w:rsidP="00117962">
      <w:pPr>
        <w:numPr>
          <w:ilvl w:val="0"/>
          <w:numId w:val="30"/>
        </w:numPr>
        <w:tabs>
          <w:tab w:val="left" w:pos="0"/>
        </w:tabs>
        <w:contextualSpacing/>
        <w:jc w:val="both"/>
        <w:outlineLvl w:val="0"/>
        <w:rPr>
          <w:rFonts w:ascii="Arial" w:hAnsi="Arial" w:cs="Arial"/>
          <w:bCs/>
        </w:rPr>
      </w:pPr>
      <w:r w:rsidRPr="00117962">
        <w:rPr>
          <w:rFonts w:ascii="Arial" w:hAnsi="Arial" w:cs="Arial"/>
          <w:bCs/>
        </w:rPr>
        <w:t>El Informe de Adjudicación, presenta los siguientes datos relevantes sobre el proceso licitatorio en mención:</w:t>
      </w:r>
    </w:p>
    <w:p w:rsidR="00117962" w:rsidRDefault="00117962" w:rsidP="00117962">
      <w:pPr>
        <w:tabs>
          <w:tab w:val="left" w:pos="0"/>
        </w:tabs>
        <w:ind w:left="567"/>
        <w:contextualSpacing/>
        <w:jc w:val="both"/>
        <w:outlineLvl w:val="0"/>
        <w:rPr>
          <w:rFonts w:ascii="Arial" w:hAnsi="Arial" w:cs="Arial"/>
          <w:bCs/>
        </w:rPr>
      </w:pPr>
    </w:p>
    <w:p w:rsidR="003F2318" w:rsidRDefault="003F2318" w:rsidP="00117962">
      <w:pPr>
        <w:tabs>
          <w:tab w:val="left" w:pos="0"/>
        </w:tabs>
        <w:ind w:left="567"/>
        <w:contextualSpacing/>
        <w:jc w:val="both"/>
        <w:outlineLvl w:val="0"/>
        <w:rPr>
          <w:rFonts w:ascii="Arial" w:hAnsi="Arial" w:cs="Arial"/>
          <w:bCs/>
        </w:rPr>
      </w:pPr>
    </w:p>
    <w:p w:rsidR="003F2318" w:rsidRDefault="003F2318" w:rsidP="00117962">
      <w:pPr>
        <w:tabs>
          <w:tab w:val="left" w:pos="0"/>
        </w:tabs>
        <w:ind w:left="567"/>
        <w:contextualSpacing/>
        <w:jc w:val="both"/>
        <w:outlineLvl w:val="0"/>
        <w:rPr>
          <w:rFonts w:ascii="Arial" w:hAnsi="Arial" w:cs="Arial"/>
          <w:bCs/>
        </w:rPr>
      </w:pPr>
    </w:p>
    <w:p w:rsidR="003F2318" w:rsidRDefault="003F2318" w:rsidP="00117962">
      <w:pPr>
        <w:tabs>
          <w:tab w:val="left" w:pos="0"/>
        </w:tabs>
        <w:ind w:left="567"/>
        <w:contextualSpacing/>
        <w:jc w:val="both"/>
        <w:outlineLvl w:val="0"/>
        <w:rPr>
          <w:rFonts w:ascii="Arial" w:hAnsi="Arial" w:cs="Arial"/>
          <w:bCs/>
        </w:rPr>
      </w:pPr>
    </w:p>
    <w:p w:rsidR="003F2318" w:rsidRPr="00117962" w:rsidRDefault="003F2318" w:rsidP="00117962">
      <w:pPr>
        <w:tabs>
          <w:tab w:val="left" w:pos="0"/>
        </w:tabs>
        <w:ind w:left="567"/>
        <w:contextualSpacing/>
        <w:jc w:val="both"/>
        <w:outlineLvl w:val="0"/>
        <w:rPr>
          <w:rFonts w:ascii="Arial" w:hAnsi="Arial" w:cs="Arial"/>
          <w:bCs/>
        </w:rPr>
      </w:pPr>
    </w:p>
    <w:p w:rsidR="00117962" w:rsidRPr="00117962" w:rsidRDefault="00117962" w:rsidP="00117962">
      <w:pPr>
        <w:tabs>
          <w:tab w:val="left" w:pos="0"/>
        </w:tabs>
        <w:ind w:left="992"/>
        <w:contextualSpacing/>
        <w:jc w:val="both"/>
        <w:outlineLvl w:val="0"/>
        <w:rPr>
          <w:rFonts w:ascii="Arial" w:hAnsi="Arial" w:cs="Arial"/>
          <w:bCs/>
        </w:rPr>
      </w:pPr>
      <w:r w:rsidRPr="00117962">
        <w:rPr>
          <w:rFonts w:ascii="Arial" w:hAnsi="Arial" w:cs="Arial"/>
          <w:bCs/>
        </w:rPr>
        <w:t>“…</w:t>
      </w:r>
    </w:p>
    <w:p w:rsidR="00117962" w:rsidRPr="00117962" w:rsidRDefault="00117962" w:rsidP="00117962">
      <w:pPr>
        <w:keepNext/>
        <w:numPr>
          <w:ilvl w:val="0"/>
          <w:numId w:val="28"/>
        </w:numPr>
        <w:spacing w:before="120" w:after="120"/>
        <w:ind w:left="1276" w:hanging="357"/>
        <w:jc w:val="both"/>
        <w:outlineLvl w:val="0"/>
        <w:rPr>
          <w:rFonts w:ascii="Arial" w:hAnsi="Arial" w:cs="Arial"/>
          <w:b/>
          <w:bCs/>
          <w:i/>
          <w:kern w:val="32"/>
          <w:sz w:val="22"/>
          <w:szCs w:val="22"/>
        </w:rPr>
      </w:pPr>
      <w:bookmarkStart w:id="0" w:name="_Toc22137292"/>
      <w:r w:rsidRPr="00117962">
        <w:rPr>
          <w:rFonts w:ascii="Arial" w:hAnsi="Arial" w:cs="Arial"/>
          <w:b/>
          <w:bCs/>
          <w:i/>
          <w:kern w:val="32"/>
          <w:sz w:val="22"/>
          <w:szCs w:val="22"/>
        </w:rPr>
        <w:lastRenderedPageBreak/>
        <w:t>Invitación</w:t>
      </w:r>
      <w:bookmarkEnd w:id="0"/>
    </w:p>
    <w:p w:rsidR="00117962" w:rsidRPr="00117962" w:rsidRDefault="00117962" w:rsidP="00117962">
      <w:pPr>
        <w:ind w:left="992"/>
        <w:jc w:val="both"/>
        <w:rPr>
          <w:rFonts w:ascii="Arial" w:hAnsi="Arial" w:cs="Arial"/>
          <w:bCs/>
          <w:i/>
          <w:sz w:val="22"/>
          <w:szCs w:val="22"/>
        </w:rPr>
      </w:pPr>
      <w:r w:rsidRPr="00117962">
        <w:rPr>
          <w:rFonts w:ascii="Arial" w:hAnsi="Arial" w:cs="Arial"/>
          <w:bCs/>
          <w:i/>
          <w:sz w:val="22"/>
          <w:szCs w:val="22"/>
        </w:rPr>
        <w:t>Se cursó invitación según los procedimientos legales establecidos para las licitaciones públicas, mediante invitación publicada en el Diario oficial La Gaceta, número 166 del día 04 de setiembre del 2019. (Folio 048 del expediente administrativo).</w:t>
      </w:r>
    </w:p>
    <w:p w:rsidR="00117962" w:rsidRPr="00117962" w:rsidRDefault="00117962" w:rsidP="00117962">
      <w:pPr>
        <w:keepNext/>
        <w:numPr>
          <w:ilvl w:val="0"/>
          <w:numId w:val="28"/>
        </w:numPr>
        <w:spacing w:before="120" w:after="120"/>
        <w:ind w:left="1276" w:hanging="357"/>
        <w:jc w:val="both"/>
        <w:outlineLvl w:val="0"/>
        <w:rPr>
          <w:rFonts w:ascii="Arial" w:hAnsi="Arial" w:cs="Arial"/>
          <w:b/>
          <w:bCs/>
          <w:i/>
          <w:kern w:val="32"/>
          <w:sz w:val="22"/>
          <w:szCs w:val="22"/>
        </w:rPr>
      </w:pPr>
      <w:bookmarkStart w:id="1" w:name="_Toc22137293"/>
      <w:r w:rsidRPr="00117962">
        <w:rPr>
          <w:rFonts w:ascii="Arial" w:hAnsi="Arial" w:cs="Arial"/>
          <w:b/>
          <w:bCs/>
          <w:i/>
          <w:kern w:val="32"/>
          <w:sz w:val="22"/>
          <w:szCs w:val="22"/>
        </w:rPr>
        <w:t>Retiro de Cartel</w:t>
      </w:r>
      <w:bookmarkEnd w:id="1"/>
    </w:p>
    <w:p w:rsidR="00117962" w:rsidRPr="00117962" w:rsidRDefault="00117962" w:rsidP="00117962">
      <w:pPr>
        <w:ind w:left="992"/>
        <w:jc w:val="both"/>
        <w:rPr>
          <w:rFonts w:ascii="Arial" w:hAnsi="Arial" w:cs="Arial"/>
          <w:bCs/>
          <w:i/>
          <w:sz w:val="22"/>
          <w:szCs w:val="22"/>
        </w:rPr>
      </w:pPr>
      <w:r w:rsidRPr="00117962">
        <w:rPr>
          <w:rFonts w:ascii="Arial" w:hAnsi="Arial" w:cs="Arial"/>
          <w:bCs/>
          <w:i/>
          <w:sz w:val="22"/>
          <w:szCs w:val="22"/>
        </w:rPr>
        <w:t>El cartel fue solicitado vía correo electrónico por un total de 18 (dieciocho) posibles oferentes a saber: (Véase Folios del 050 al 0182 del expediente)</w:t>
      </w:r>
    </w:p>
    <w:p w:rsidR="00117962" w:rsidRPr="00117962" w:rsidRDefault="00117962" w:rsidP="00117962">
      <w:pPr>
        <w:numPr>
          <w:ilvl w:val="0"/>
          <w:numId w:val="24"/>
        </w:numPr>
        <w:ind w:left="1559"/>
        <w:jc w:val="both"/>
        <w:rPr>
          <w:rFonts w:ascii="Arial" w:hAnsi="Arial" w:cs="Arial"/>
          <w:i/>
          <w:sz w:val="22"/>
          <w:szCs w:val="22"/>
        </w:rPr>
      </w:pPr>
      <w:r w:rsidRPr="00117962">
        <w:rPr>
          <w:rFonts w:ascii="Arial" w:hAnsi="Arial" w:cs="Arial"/>
          <w:i/>
          <w:sz w:val="22"/>
          <w:szCs w:val="22"/>
        </w:rPr>
        <w:t>INGESUR</w:t>
      </w:r>
    </w:p>
    <w:p w:rsidR="00117962" w:rsidRPr="00117962" w:rsidRDefault="00117962" w:rsidP="00117962">
      <w:pPr>
        <w:numPr>
          <w:ilvl w:val="0"/>
          <w:numId w:val="24"/>
        </w:numPr>
        <w:ind w:left="1559"/>
        <w:jc w:val="both"/>
        <w:rPr>
          <w:rFonts w:ascii="Arial" w:hAnsi="Arial" w:cs="Arial"/>
          <w:i/>
          <w:sz w:val="22"/>
          <w:szCs w:val="22"/>
        </w:rPr>
      </w:pPr>
      <w:r w:rsidRPr="00117962">
        <w:rPr>
          <w:rFonts w:ascii="Arial" w:hAnsi="Arial" w:cs="Arial"/>
          <w:i/>
          <w:sz w:val="22"/>
          <w:szCs w:val="22"/>
        </w:rPr>
        <w:t>AC Desarrollos</w:t>
      </w:r>
    </w:p>
    <w:p w:rsidR="00117962" w:rsidRPr="00117962" w:rsidRDefault="00117962" w:rsidP="00117962">
      <w:pPr>
        <w:numPr>
          <w:ilvl w:val="0"/>
          <w:numId w:val="24"/>
        </w:numPr>
        <w:ind w:left="1559"/>
        <w:jc w:val="both"/>
        <w:rPr>
          <w:rFonts w:ascii="Arial" w:hAnsi="Arial" w:cs="Arial"/>
          <w:i/>
          <w:sz w:val="22"/>
          <w:szCs w:val="22"/>
        </w:rPr>
      </w:pPr>
      <w:r w:rsidRPr="00117962">
        <w:rPr>
          <w:rFonts w:ascii="Arial" w:hAnsi="Arial" w:cs="Arial"/>
          <w:i/>
          <w:sz w:val="22"/>
          <w:szCs w:val="22"/>
        </w:rPr>
        <w:t>Sistemas &amp; Construcciones AG LTDA</w:t>
      </w:r>
    </w:p>
    <w:p w:rsidR="00117962" w:rsidRPr="00117962" w:rsidRDefault="00117962" w:rsidP="00117962">
      <w:pPr>
        <w:numPr>
          <w:ilvl w:val="0"/>
          <w:numId w:val="24"/>
        </w:numPr>
        <w:ind w:left="1559"/>
        <w:jc w:val="both"/>
        <w:rPr>
          <w:rFonts w:ascii="Arial" w:hAnsi="Arial" w:cs="Arial"/>
          <w:i/>
          <w:sz w:val="22"/>
          <w:szCs w:val="22"/>
        </w:rPr>
      </w:pPr>
      <w:r w:rsidRPr="00117962">
        <w:rPr>
          <w:rFonts w:ascii="Arial" w:hAnsi="Arial" w:cs="Arial"/>
          <w:i/>
          <w:sz w:val="22"/>
          <w:szCs w:val="22"/>
        </w:rPr>
        <w:t>Construcciones Peñaranda S.A.</w:t>
      </w:r>
    </w:p>
    <w:p w:rsidR="00117962" w:rsidRPr="00117962" w:rsidRDefault="00117962" w:rsidP="00117962">
      <w:pPr>
        <w:numPr>
          <w:ilvl w:val="0"/>
          <w:numId w:val="24"/>
        </w:numPr>
        <w:ind w:left="1559"/>
        <w:jc w:val="both"/>
        <w:rPr>
          <w:rFonts w:ascii="Arial" w:hAnsi="Arial" w:cs="Arial"/>
          <w:i/>
          <w:sz w:val="22"/>
          <w:szCs w:val="22"/>
        </w:rPr>
      </w:pPr>
      <w:r w:rsidRPr="00117962">
        <w:rPr>
          <w:rFonts w:ascii="Arial" w:hAnsi="Arial" w:cs="Arial"/>
          <w:i/>
          <w:sz w:val="22"/>
          <w:szCs w:val="22"/>
        </w:rPr>
        <w:t>COSERTEC R&amp;S.</w:t>
      </w:r>
    </w:p>
    <w:p w:rsidR="00117962" w:rsidRPr="00117962" w:rsidRDefault="00117962" w:rsidP="00117962">
      <w:pPr>
        <w:numPr>
          <w:ilvl w:val="0"/>
          <w:numId w:val="24"/>
        </w:numPr>
        <w:ind w:left="1559"/>
        <w:jc w:val="both"/>
        <w:rPr>
          <w:rFonts w:ascii="Arial" w:hAnsi="Arial" w:cs="Arial"/>
          <w:i/>
          <w:sz w:val="22"/>
          <w:szCs w:val="22"/>
        </w:rPr>
      </w:pPr>
      <w:r w:rsidRPr="00117962">
        <w:rPr>
          <w:rFonts w:ascii="Arial" w:hAnsi="Arial" w:cs="Arial"/>
          <w:i/>
          <w:sz w:val="22"/>
          <w:szCs w:val="22"/>
        </w:rPr>
        <w:t>Multiservicios y Constructora MICSA S.A.</w:t>
      </w:r>
    </w:p>
    <w:p w:rsidR="00117962" w:rsidRPr="00117962" w:rsidRDefault="00117962" w:rsidP="00117962">
      <w:pPr>
        <w:numPr>
          <w:ilvl w:val="0"/>
          <w:numId w:val="24"/>
        </w:numPr>
        <w:ind w:left="1559"/>
        <w:jc w:val="both"/>
        <w:rPr>
          <w:rFonts w:ascii="Arial" w:hAnsi="Arial" w:cs="Arial"/>
          <w:i/>
          <w:sz w:val="22"/>
          <w:szCs w:val="22"/>
        </w:rPr>
      </w:pPr>
      <w:r w:rsidRPr="00117962">
        <w:rPr>
          <w:rFonts w:ascii="Arial" w:hAnsi="Arial" w:cs="Arial"/>
          <w:i/>
          <w:sz w:val="22"/>
          <w:szCs w:val="22"/>
        </w:rPr>
        <w:t>Ing. Maikel Vargas Gutiérrez</w:t>
      </w:r>
    </w:p>
    <w:p w:rsidR="00117962" w:rsidRPr="00117962" w:rsidRDefault="00117962" w:rsidP="00117962">
      <w:pPr>
        <w:numPr>
          <w:ilvl w:val="0"/>
          <w:numId w:val="24"/>
        </w:numPr>
        <w:ind w:left="1559"/>
        <w:jc w:val="both"/>
        <w:rPr>
          <w:rFonts w:ascii="Arial" w:hAnsi="Arial" w:cs="Arial"/>
          <w:i/>
          <w:sz w:val="22"/>
          <w:szCs w:val="22"/>
        </w:rPr>
      </w:pPr>
      <w:r w:rsidRPr="00117962">
        <w:rPr>
          <w:rFonts w:ascii="Arial" w:hAnsi="Arial" w:cs="Arial"/>
          <w:i/>
          <w:sz w:val="22"/>
          <w:szCs w:val="22"/>
        </w:rPr>
        <w:t>Alexander Leiva</w:t>
      </w:r>
    </w:p>
    <w:p w:rsidR="00117962" w:rsidRPr="00117962" w:rsidRDefault="00117962" w:rsidP="00117962">
      <w:pPr>
        <w:numPr>
          <w:ilvl w:val="0"/>
          <w:numId w:val="24"/>
        </w:numPr>
        <w:ind w:left="1559"/>
        <w:jc w:val="both"/>
        <w:rPr>
          <w:rFonts w:ascii="Arial" w:hAnsi="Arial" w:cs="Arial"/>
          <w:i/>
          <w:sz w:val="22"/>
          <w:szCs w:val="22"/>
        </w:rPr>
      </w:pPr>
      <w:r w:rsidRPr="00117962">
        <w:rPr>
          <w:rFonts w:ascii="Arial" w:hAnsi="Arial" w:cs="Arial"/>
          <w:i/>
          <w:sz w:val="22"/>
          <w:szCs w:val="22"/>
        </w:rPr>
        <w:t>Constructora y Multiservicios JSP</w:t>
      </w:r>
    </w:p>
    <w:p w:rsidR="00117962" w:rsidRPr="00117962" w:rsidRDefault="00117962" w:rsidP="00117962">
      <w:pPr>
        <w:numPr>
          <w:ilvl w:val="0"/>
          <w:numId w:val="24"/>
        </w:numPr>
        <w:ind w:left="1559"/>
        <w:jc w:val="both"/>
        <w:rPr>
          <w:rFonts w:ascii="Arial" w:hAnsi="Arial" w:cs="Arial"/>
          <w:i/>
          <w:sz w:val="22"/>
          <w:szCs w:val="22"/>
        </w:rPr>
      </w:pPr>
      <w:r w:rsidRPr="00117962">
        <w:rPr>
          <w:rFonts w:ascii="Arial" w:hAnsi="Arial" w:cs="Arial"/>
          <w:i/>
          <w:sz w:val="22"/>
          <w:szCs w:val="22"/>
        </w:rPr>
        <w:t>Edificadora Beta</w:t>
      </w:r>
    </w:p>
    <w:p w:rsidR="00117962" w:rsidRPr="00117962" w:rsidRDefault="00117962" w:rsidP="00117962">
      <w:pPr>
        <w:numPr>
          <w:ilvl w:val="0"/>
          <w:numId w:val="24"/>
        </w:numPr>
        <w:ind w:left="1559"/>
        <w:jc w:val="both"/>
        <w:rPr>
          <w:rFonts w:ascii="Arial" w:hAnsi="Arial" w:cs="Arial"/>
          <w:i/>
          <w:sz w:val="22"/>
          <w:szCs w:val="22"/>
        </w:rPr>
      </w:pPr>
      <w:proofErr w:type="spellStart"/>
      <w:r w:rsidRPr="00117962">
        <w:rPr>
          <w:rFonts w:ascii="Arial" w:hAnsi="Arial" w:cs="Arial"/>
          <w:i/>
          <w:sz w:val="22"/>
          <w:szCs w:val="22"/>
        </w:rPr>
        <w:t>Connexis</w:t>
      </w:r>
      <w:proofErr w:type="spellEnd"/>
      <w:r w:rsidRPr="00117962">
        <w:rPr>
          <w:rFonts w:ascii="Arial" w:hAnsi="Arial" w:cs="Arial"/>
          <w:i/>
          <w:sz w:val="22"/>
          <w:szCs w:val="22"/>
        </w:rPr>
        <w:t xml:space="preserve"> Internacional S. A.</w:t>
      </w:r>
    </w:p>
    <w:p w:rsidR="00117962" w:rsidRPr="00117962" w:rsidRDefault="00117962" w:rsidP="00117962">
      <w:pPr>
        <w:numPr>
          <w:ilvl w:val="0"/>
          <w:numId w:val="24"/>
        </w:numPr>
        <w:ind w:left="1559"/>
        <w:jc w:val="both"/>
        <w:rPr>
          <w:rFonts w:ascii="Arial" w:hAnsi="Arial" w:cs="Arial"/>
          <w:i/>
          <w:sz w:val="22"/>
          <w:szCs w:val="22"/>
        </w:rPr>
      </w:pPr>
      <w:r w:rsidRPr="00117962">
        <w:rPr>
          <w:rFonts w:ascii="Arial" w:hAnsi="Arial" w:cs="Arial"/>
          <w:i/>
          <w:sz w:val="22"/>
          <w:szCs w:val="22"/>
        </w:rPr>
        <w:t>PCR Ingeniería</w:t>
      </w:r>
    </w:p>
    <w:p w:rsidR="00117962" w:rsidRPr="00117962" w:rsidRDefault="00117962" w:rsidP="00117962">
      <w:pPr>
        <w:numPr>
          <w:ilvl w:val="0"/>
          <w:numId w:val="24"/>
        </w:numPr>
        <w:ind w:left="1559"/>
        <w:jc w:val="both"/>
        <w:rPr>
          <w:rFonts w:ascii="Arial" w:hAnsi="Arial" w:cs="Arial"/>
          <w:i/>
          <w:sz w:val="22"/>
          <w:szCs w:val="22"/>
        </w:rPr>
      </w:pPr>
      <w:r w:rsidRPr="00117962">
        <w:rPr>
          <w:rFonts w:ascii="Arial" w:hAnsi="Arial" w:cs="Arial"/>
          <w:i/>
          <w:sz w:val="22"/>
          <w:szCs w:val="22"/>
        </w:rPr>
        <w:t>ASAP Construcción Soto S.A.</w:t>
      </w:r>
    </w:p>
    <w:p w:rsidR="00117962" w:rsidRPr="00117962" w:rsidRDefault="00117962" w:rsidP="00117962">
      <w:pPr>
        <w:numPr>
          <w:ilvl w:val="0"/>
          <w:numId w:val="24"/>
        </w:numPr>
        <w:ind w:left="1559"/>
        <w:jc w:val="both"/>
        <w:rPr>
          <w:rFonts w:ascii="Arial" w:hAnsi="Arial" w:cs="Arial"/>
          <w:i/>
          <w:sz w:val="22"/>
          <w:szCs w:val="22"/>
        </w:rPr>
      </w:pPr>
      <w:r w:rsidRPr="00117962">
        <w:rPr>
          <w:rFonts w:ascii="Arial" w:hAnsi="Arial" w:cs="Arial"/>
          <w:i/>
          <w:sz w:val="22"/>
          <w:szCs w:val="22"/>
        </w:rPr>
        <w:t>ARPO CR</w:t>
      </w:r>
    </w:p>
    <w:p w:rsidR="00117962" w:rsidRPr="00117962" w:rsidRDefault="00117962" w:rsidP="00117962">
      <w:pPr>
        <w:numPr>
          <w:ilvl w:val="0"/>
          <w:numId w:val="24"/>
        </w:numPr>
        <w:ind w:left="1559"/>
        <w:jc w:val="both"/>
        <w:rPr>
          <w:rFonts w:ascii="Arial" w:hAnsi="Arial" w:cs="Arial"/>
          <w:i/>
          <w:sz w:val="22"/>
          <w:szCs w:val="22"/>
        </w:rPr>
      </w:pPr>
      <w:r w:rsidRPr="00117962">
        <w:rPr>
          <w:rFonts w:ascii="Arial" w:hAnsi="Arial" w:cs="Arial"/>
          <w:i/>
          <w:sz w:val="22"/>
          <w:szCs w:val="22"/>
        </w:rPr>
        <w:t xml:space="preserve">Valencia </w:t>
      </w:r>
      <w:proofErr w:type="spellStart"/>
      <w:r w:rsidRPr="00117962">
        <w:rPr>
          <w:rFonts w:ascii="Arial" w:hAnsi="Arial" w:cs="Arial"/>
          <w:i/>
          <w:sz w:val="22"/>
          <w:szCs w:val="22"/>
        </w:rPr>
        <w:t>Service</w:t>
      </w:r>
      <w:proofErr w:type="spellEnd"/>
      <w:r w:rsidRPr="00117962">
        <w:rPr>
          <w:rFonts w:ascii="Arial" w:hAnsi="Arial" w:cs="Arial"/>
          <w:i/>
          <w:sz w:val="22"/>
          <w:szCs w:val="22"/>
        </w:rPr>
        <w:t xml:space="preserve"> &amp; </w:t>
      </w:r>
      <w:proofErr w:type="spellStart"/>
      <w:r w:rsidRPr="00117962">
        <w:rPr>
          <w:rFonts w:ascii="Arial" w:hAnsi="Arial" w:cs="Arial"/>
          <w:i/>
          <w:sz w:val="22"/>
          <w:szCs w:val="22"/>
        </w:rPr>
        <w:t>Supply</w:t>
      </w:r>
      <w:proofErr w:type="spellEnd"/>
    </w:p>
    <w:p w:rsidR="00117962" w:rsidRPr="00117962" w:rsidRDefault="00117962" w:rsidP="00117962">
      <w:pPr>
        <w:numPr>
          <w:ilvl w:val="0"/>
          <w:numId w:val="24"/>
        </w:numPr>
        <w:ind w:left="1559"/>
        <w:jc w:val="both"/>
        <w:rPr>
          <w:rFonts w:ascii="Arial" w:hAnsi="Arial" w:cs="Arial"/>
          <w:i/>
          <w:sz w:val="22"/>
          <w:szCs w:val="22"/>
        </w:rPr>
      </w:pPr>
      <w:r w:rsidRPr="00117962">
        <w:rPr>
          <w:rFonts w:ascii="Arial" w:hAnsi="Arial" w:cs="Arial"/>
          <w:i/>
          <w:sz w:val="22"/>
          <w:szCs w:val="22"/>
        </w:rPr>
        <w:t>Montajes R&amp;R</w:t>
      </w:r>
    </w:p>
    <w:p w:rsidR="00117962" w:rsidRPr="00117962" w:rsidRDefault="00117962" w:rsidP="00117962">
      <w:pPr>
        <w:numPr>
          <w:ilvl w:val="0"/>
          <w:numId w:val="24"/>
        </w:numPr>
        <w:ind w:left="1559"/>
        <w:jc w:val="both"/>
        <w:rPr>
          <w:rFonts w:ascii="Arial" w:hAnsi="Arial" w:cs="Arial"/>
          <w:i/>
          <w:sz w:val="22"/>
          <w:szCs w:val="22"/>
        </w:rPr>
      </w:pPr>
      <w:r w:rsidRPr="00117962">
        <w:rPr>
          <w:rFonts w:ascii="Arial" w:hAnsi="Arial" w:cs="Arial"/>
          <w:i/>
          <w:sz w:val="22"/>
          <w:szCs w:val="22"/>
        </w:rPr>
        <w:t xml:space="preserve">Constructora </w:t>
      </w:r>
      <w:proofErr w:type="spellStart"/>
      <w:r w:rsidRPr="00117962">
        <w:rPr>
          <w:rFonts w:ascii="Arial" w:hAnsi="Arial" w:cs="Arial"/>
          <w:i/>
          <w:sz w:val="22"/>
          <w:szCs w:val="22"/>
        </w:rPr>
        <w:t>Cofam</w:t>
      </w:r>
      <w:proofErr w:type="spellEnd"/>
    </w:p>
    <w:p w:rsidR="00117962" w:rsidRPr="00117962" w:rsidRDefault="00117962" w:rsidP="00117962">
      <w:pPr>
        <w:numPr>
          <w:ilvl w:val="0"/>
          <w:numId w:val="24"/>
        </w:numPr>
        <w:ind w:left="1559"/>
        <w:jc w:val="both"/>
        <w:rPr>
          <w:rFonts w:ascii="Arial" w:hAnsi="Arial" w:cs="Arial"/>
          <w:i/>
          <w:sz w:val="22"/>
          <w:szCs w:val="22"/>
        </w:rPr>
      </w:pPr>
      <w:proofErr w:type="spellStart"/>
      <w:proofErr w:type="gramStart"/>
      <w:r w:rsidRPr="00117962">
        <w:rPr>
          <w:rFonts w:ascii="Arial" w:hAnsi="Arial" w:cs="Arial"/>
          <w:i/>
          <w:sz w:val="22"/>
          <w:szCs w:val="22"/>
        </w:rPr>
        <w:t>AV.soluciones</w:t>
      </w:r>
      <w:proofErr w:type="spellEnd"/>
      <w:proofErr w:type="gramEnd"/>
    </w:p>
    <w:p w:rsidR="00117962" w:rsidRPr="00117962" w:rsidRDefault="00117962" w:rsidP="00117962">
      <w:pPr>
        <w:keepNext/>
        <w:numPr>
          <w:ilvl w:val="0"/>
          <w:numId w:val="28"/>
        </w:numPr>
        <w:spacing w:before="120" w:after="120"/>
        <w:ind w:left="1276" w:hanging="357"/>
        <w:jc w:val="both"/>
        <w:outlineLvl w:val="0"/>
        <w:rPr>
          <w:rFonts w:ascii="Arial" w:hAnsi="Arial" w:cs="Arial"/>
          <w:b/>
          <w:bCs/>
          <w:i/>
          <w:kern w:val="32"/>
          <w:sz w:val="22"/>
          <w:szCs w:val="22"/>
        </w:rPr>
      </w:pPr>
      <w:bookmarkStart w:id="2" w:name="_Toc22137294"/>
      <w:r w:rsidRPr="00117962">
        <w:rPr>
          <w:rFonts w:ascii="Arial" w:hAnsi="Arial" w:cs="Arial"/>
          <w:b/>
          <w:bCs/>
          <w:i/>
          <w:kern w:val="32"/>
          <w:sz w:val="22"/>
          <w:szCs w:val="22"/>
        </w:rPr>
        <w:t>Recepción y Apertura de Ofertas</w:t>
      </w:r>
      <w:bookmarkEnd w:id="2"/>
    </w:p>
    <w:p w:rsidR="00117962" w:rsidRPr="00117962" w:rsidRDefault="00117962" w:rsidP="00117962">
      <w:pPr>
        <w:ind w:left="992"/>
        <w:jc w:val="both"/>
        <w:rPr>
          <w:rFonts w:ascii="Arial" w:hAnsi="Arial" w:cs="Arial"/>
          <w:bCs/>
          <w:i/>
          <w:sz w:val="22"/>
          <w:szCs w:val="22"/>
        </w:rPr>
      </w:pPr>
      <w:r w:rsidRPr="00117962">
        <w:rPr>
          <w:rFonts w:ascii="Arial" w:hAnsi="Arial" w:cs="Arial"/>
          <w:bCs/>
          <w:i/>
          <w:sz w:val="22"/>
          <w:szCs w:val="22"/>
        </w:rPr>
        <w:t>La apertura se realiza el 03 de octubre del 2019, al ser las trece horas (1:00 p.m.) en la Sala de Reuniones de la Unidad de Gestión Financiera y Administración de Bienes del Campus Tecnológico Local San Carlos, según consta en el Libro de Actas de Apertura, Folio 055. (Véase folio 0155 del expediente)</w:t>
      </w:r>
    </w:p>
    <w:p w:rsidR="00117962" w:rsidRPr="00117962" w:rsidRDefault="00117962" w:rsidP="00117962">
      <w:pPr>
        <w:ind w:left="992"/>
        <w:jc w:val="both"/>
        <w:rPr>
          <w:rFonts w:ascii="Arial" w:hAnsi="Arial" w:cs="Arial"/>
          <w:bCs/>
          <w:i/>
          <w:sz w:val="22"/>
          <w:szCs w:val="22"/>
        </w:rPr>
      </w:pPr>
      <w:r w:rsidRPr="00117962">
        <w:rPr>
          <w:rFonts w:ascii="Arial" w:hAnsi="Arial" w:cs="Arial"/>
          <w:bCs/>
          <w:i/>
          <w:sz w:val="22"/>
          <w:szCs w:val="22"/>
        </w:rPr>
        <w:t>Se recibe una única oferta: (Véase folios del 085 al 0155 del expediente)</w:t>
      </w:r>
    </w:p>
    <w:p w:rsidR="00117962" w:rsidRPr="00117962" w:rsidRDefault="00117962" w:rsidP="00117962">
      <w:pPr>
        <w:numPr>
          <w:ilvl w:val="0"/>
          <w:numId w:val="22"/>
        </w:numPr>
        <w:ind w:left="1559"/>
        <w:jc w:val="both"/>
        <w:rPr>
          <w:rFonts w:ascii="Arial" w:hAnsi="Arial" w:cs="Arial"/>
          <w:i/>
          <w:sz w:val="22"/>
          <w:szCs w:val="22"/>
        </w:rPr>
      </w:pPr>
      <w:r w:rsidRPr="00117962">
        <w:rPr>
          <w:rFonts w:ascii="Arial" w:hAnsi="Arial" w:cs="Arial"/>
          <w:i/>
          <w:sz w:val="22"/>
          <w:szCs w:val="22"/>
        </w:rPr>
        <w:t>Compañía de Servicios Técnicos R&amp;S S.A.</w:t>
      </w:r>
    </w:p>
    <w:p w:rsidR="00117962" w:rsidRPr="00117962" w:rsidRDefault="00117962" w:rsidP="00117962">
      <w:pPr>
        <w:keepNext/>
        <w:numPr>
          <w:ilvl w:val="0"/>
          <w:numId w:val="28"/>
        </w:numPr>
        <w:spacing w:before="120" w:after="120"/>
        <w:ind w:left="1276" w:hanging="357"/>
        <w:jc w:val="both"/>
        <w:outlineLvl w:val="0"/>
        <w:rPr>
          <w:rFonts w:ascii="Arial" w:hAnsi="Arial" w:cs="Arial"/>
          <w:b/>
          <w:bCs/>
          <w:i/>
          <w:kern w:val="32"/>
          <w:sz w:val="22"/>
          <w:szCs w:val="22"/>
        </w:rPr>
      </w:pPr>
      <w:bookmarkStart w:id="3" w:name="_Toc22137295"/>
      <w:r w:rsidRPr="00117962">
        <w:rPr>
          <w:rFonts w:ascii="Arial" w:hAnsi="Arial" w:cs="Arial"/>
          <w:b/>
          <w:bCs/>
          <w:i/>
          <w:kern w:val="32"/>
          <w:sz w:val="22"/>
          <w:szCs w:val="22"/>
        </w:rPr>
        <w:t>Análisis de la Oferta</w:t>
      </w:r>
      <w:bookmarkEnd w:id="3"/>
    </w:p>
    <w:p w:rsidR="00117962" w:rsidRPr="00117962" w:rsidRDefault="00117962" w:rsidP="00117962">
      <w:pPr>
        <w:ind w:left="992"/>
        <w:jc w:val="both"/>
        <w:rPr>
          <w:rFonts w:ascii="Arial" w:hAnsi="Arial" w:cs="Arial"/>
          <w:bCs/>
          <w:i/>
          <w:sz w:val="22"/>
          <w:szCs w:val="22"/>
        </w:rPr>
      </w:pPr>
      <w:r w:rsidRPr="00117962">
        <w:rPr>
          <w:rFonts w:ascii="Arial" w:hAnsi="Arial" w:cs="Arial"/>
          <w:bCs/>
          <w:i/>
          <w:sz w:val="22"/>
          <w:szCs w:val="22"/>
        </w:rPr>
        <w:t>En el siguiente cuadro se resumen los aspectos legales y se muestran las condiciones ofrecidas por parte de la empresa participante.</w:t>
      </w:r>
    </w:p>
    <w:p w:rsidR="00117962" w:rsidRPr="00117962" w:rsidRDefault="00117962" w:rsidP="00117962">
      <w:pPr>
        <w:ind w:left="425"/>
        <w:jc w:val="both"/>
        <w:rPr>
          <w:rFonts w:ascii="Arial" w:hAnsi="Arial" w:cs="Arial"/>
          <w:bCs/>
          <w:sz w:val="22"/>
        </w:rPr>
      </w:pPr>
    </w:p>
    <w:p w:rsidR="00117962" w:rsidRPr="00117962" w:rsidRDefault="00117962" w:rsidP="00117962">
      <w:pPr>
        <w:ind w:left="425"/>
        <w:jc w:val="center"/>
        <w:rPr>
          <w:rFonts w:ascii="Arial" w:hAnsi="Arial" w:cs="Arial"/>
          <w:b/>
          <w:i/>
          <w:sz w:val="20"/>
          <w:szCs w:val="20"/>
        </w:rPr>
      </w:pPr>
      <w:r w:rsidRPr="00117962">
        <w:rPr>
          <w:rFonts w:ascii="Arial" w:hAnsi="Arial" w:cs="Arial"/>
          <w:b/>
          <w:bCs/>
          <w:i/>
          <w:sz w:val="20"/>
          <w:szCs w:val="20"/>
        </w:rPr>
        <w:t>Cuadro Resumen,</w:t>
      </w:r>
      <w:r w:rsidRPr="00117962">
        <w:rPr>
          <w:rFonts w:ascii="Arial" w:hAnsi="Arial" w:cs="Arial"/>
          <w:b/>
          <w:i/>
          <w:sz w:val="20"/>
          <w:szCs w:val="20"/>
        </w:rPr>
        <w:t xml:space="preserve"> Condiciones y Aspectos Legales</w:t>
      </w:r>
    </w:p>
    <w:tbl>
      <w:tblPr>
        <w:tblW w:w="7970" w:type="dxa"/>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2"/>
        <w:gridCol w:w="2798"/>
      </w:tblGrid>
      <w:tr w:rsidR="00117962" w:rsidRPr="00117962" w:rsidTr="00C0749A">
        <w:trPr>
          <w:trHeight w:val="319"/>
          <w:tblHeader/>
        </w:trPr>
        <w:tc>
          <w:tcPr>
            <w:tcW w:w="5172" w:type="dxa"/>
            <w:shd w:val="clear" w:color="auto" w:fill="auto"/>
            <w:vAlign w:val="center"/>
          </w:tcPr>
          <w:p w:rsidR="00117962" w:rsidRPr="00117962" w:rsidRDefault="00117962" w:rsidP="00117962">
            <w:pPr>
              <w:rPr>
                <w:rFonts w:ascii="Arial" w:hAnsi="Arial" w:cs="Arial"/>
                <w:b/>
                <w:i/>
                <w:sz w:val="20"/>
                <w:szCs w:val="20"/>
              </w:rPr>
            </w:pPr>
            <w:r w:rsidRPr="00117962">
              <w:rPr>
                <w:rFonts w:ascii="Arial" w:hAnsi="Arial" w:cs="Arial"/>
                <w:b/>
                <w:i/>
                <w:sz w:val="20"/>
                <w:szCs w:val="20"/>
              </w:rPr>
              <w:t>Nombre del Oferente</w:t>
            </w:r>
          </w:p>
        </w:tc>
        <w:tc>
          <w:tcPr>
            <w:tcW w:w="2798" w:type="dxa"/>
            <w:shd w:val="clear" w:color="auto" w:fill="auto"/>
          </w:tcPr>
          <w:p w:rsidR="00117962" w:rsidRPr="00117962" w:rsidRDefault="00117962" w:rsidP="00117962">
            <w:pPr>
              <w:jc w:val="center"/>
              <w:rPr>
                <w:rFonts w:ascii="Arial" w:hAnsi="Arial" w:cs="Arial"/>
                <w:b/>
                <w:i/>
                <w:sz w:val="20"/>
                <w:szCs w:val="20"/>
              </w:rPr>
            </w:pPr>
            <w:r w:rsidRPr="00117962">
              <w:rPr>
                <w:rFonts w:ascii="Arial" w:hAnsi="Arial" w:cs="Arial"/>
                <w:b/>
                <w:i/>
                <w:sz w:val="20"/>
                <w:szCs w:val="20"/>
              </w:rPr>
              <w:t>OFERTA ÚNICA</w:t>
            </w:r>
          </w:p>
          <w:p w:rsidR="00117962" w:rsidRPr="00117962" w:rsidRDefault="00117962" w:rsidP="00117962">
            <w:pPr>
              <w:jc w:val="center"/>
              <w:rPr>
                <w:rFonts w:ascii="Arial" w:hAnsi="Arial" w:cs="Arial"/>
                <w:b/>
                <w:i/>
                <w:sz w:val="20"/>
                <w:szCs w:val="20"/>
              </w:rPr>
            </w:pPr>
          </w:p>
          <w:p w:rsidR="00117962" w:rsidRPr="00117962" w:rsidRDefault="00117962" w:rsidP="00117962">
            <w:pPr>
              <w:jc w:val="center"/>
              <w:rPr>
                <w:rFonts w:ascii="Arial" w:hAnsi="Arial" w:cs="Arial"/>
                <w:b/>
                <w:i/>
                <w:sz w:val="20"/>
                <w:szCs w:val="20"/>
              </w:rPr>
            </w:pPr>
            <w:r w:rsidRPr="00117962">
              <w:rPr>
                <w:rFonts w:ascii="Arial" w:hAnsi="Arial" w:cs="Arial"/>
                <w:b/>
                <w:i/>
                <w:sz w:val="20"/>
                <w:szCs w:val="20"/>
              </w:rPr>
              <w:t>Compañía de Servicios Técnicos R&amp;S S.A.</w:t>
            </w:r>
          </w:p>
          <w:p w:rsidR="00117962" w:rsidRPr="00117962" w:rsidRDefault="00117962" w:rsidP="00117962">
            <w:pPr>
              <w:jc w:val="center"/>
              <w:rPr>
                <w:rFonts w:ascii="Arial" w:hAnsi="Arial" w:cs="Arial"/>
                <w:b/>
                <w:i/>
                <w:sz w:val="20"/>
                <w:szCs w:val="20"/>
              </w:rPr>
            </w:pPr>
          </w:p>
        </w:tc>
      </w:tr>
      <w:tr w:rsidR="00117962" w:rsidRPr="00117962" w:rsidTr="00C0749A">
        <w:trPr>
          <w:trHeight w:val="239"/>
        </w:trPr>
        <w:tc>
          <w:tcPr>
            <w:tcW w:w="5172" w:type="dxa"/>
            <w:shd w:val="clear" w:color="auto" w:fill="auto"/>
            <w:vAlign w:val="center"/>
          </w:tcPr>
          <w:p w:rsidR="00117962" w:rsidRPr="00117962" w:rsidRDefault="00117962" w:rsidP="00117962">
            <w:pPr>
              <w:rPr>
                <w:rFonts w:ascii="Arial" w:hAnsi="Arial" w:cs="Arial"/>
                <w:i/>
                <w:sz w:val="20"/>
                <w:szCs w:val="20"/>
              </w:rPr>
            </w:pPr>
            <w:r w:rsidRPr="00117962">
              <w:rPr>
                <w:rFonts w:ascii="Arial" w:hAnsi="Arial" w:cs="Arial"/>
                <w:i/>
                <w:sz w:val="20"/>
                <w:szCs w:val="20"/>
              </w:rPr>
              <w:t>Cédula Jurídica</w:t>
            </w:r>
          </w:p>
        </w:tc>
        <w:tc>
          <w:tcPr>
            <w:tcW w:w="2798" w:type="dxa"/>
            <w:shd w:val="clear" w:color="auto" w:fill="auto"/>
            <w:vAlign w:val="center"/>
          </w:tcPr>
          <w:p w:rsidR="00117962" w:rsidRPr="00117962" w:rsidRDefault="00117962" w:rsidP="00117962">
            <w:pPr>
              <w:jc w:val="center"/>
              <w:rPr>
                <w:rFonts w:ascii="Arial" w:hAnsi="Arial" w:cs="Arial"/>
                <w:i/>
                <w:sz w:val="20"/>
                <w:szCs w:val="20"/>
              </w:rPr>
            </w:pPr>
            <w:r w:rsidRPr="00117962">
              <w:rPr>
                <w:rFonts w:ascii="Arial" w:hAnsi="Arial" w:cs="Arial"/>
                <w:i/>
                <w:sz w:val="20"/>
                <w:szCs w:val="20"/>
              </w:rPr>
              <w:t>3-101-287046</w:t>
            </w:r>
          </w:p>
        </w:tc>
      </w:tr>
      <w:tr w:rsidR="00117962" w:rsidRPr="00117962" w:rsidTr="00C0749A">
        <w:trPr>
          <w:trHeight w:val="239"/>
        </w:trPr>
        <w:tc>
          <w:tcPr>
            <w:tcW w:w="5172" w:type="dxa"/>
            <w:shd w:val="clear" w:color="auto" w:fill="auto"/>
            <w:vAlign w:val="center"/>
          </w:tcPr>
          <w:p w:rsidR="00117962" w:rsidRPr="00117962" w:rsidRDefault="00117962" w:rsidP="00117962">
            <w:pPr>
              <w:rPr>
                <w:rFonts w:ascii="Arial" w:hAnsi="Arial" w:cs="Arial"/>
                <w:i/>
                <w:sz w:val="20"/>
                <w:szCs w:val="20"/>
              </w:rPr>
            </w:pPr>
            <w:r w:rsidRPr="00117962">
              <w:rPr>
                <w:rFonts w:ascii="Arial" w:hAnsi="Arial" w:cs="Arial"/>
                <w:i/>
                <w:sz w:val="20"/>
                <w:szCs w:val="20"/>
              </w:rPr>
              <w:t>Vigencia de la oferta en días hábiles</w:t>
            </w:r>
          </w:p>
        </w:tc>
        <w:tc>
          <w:tcPr>
            <w:tcW w:w="2798" w:type="dxa"/>
            <w:shd w:val="clear" w:color="auto" w:fill="auto"/>
            <w:vAlign w:val="center"/>
          </w:tcPr>
          <w:p w:rsidR="00117962" w:rsidRPr="00117962" w:rsidRDefault="00117962" w:rsidP="00117962">
            <w:pPr>
              <w:jc w:val="center"/>
              <w:rPr>
                <w:rFonts w:ascii="Arial" w:hAnsi="Arial" w:cs="Arial"/>
                <w:i/>
                <w:sz w:val="20"/>
                <w:szCs w:val="20"/>
              </w:rPr>
            </w:pPr>
            <w:r w:rsidRPr="00117962">
              <w:rPr>
                <w:rFonts w:ascii="Arial" w:hAnsi="Arial" w:cs="Arial"/>
                <w:i/>
                <w:sz w:val="20"/>
                <w:szCs w:val="20"/>
              </w:rPr>
              <w:t>90</w:t>
            </w:r>
          </w:p>
        </w:tc>
      </w:tr>
      <w:tr w:rsidR="00117962" w:rsidRPr="00117962" w:rsidTr="00C0749A">
        <w:trPr>
          <w:trHeight w:val="239"/>
        </w:trPr>
        <w:tc>
          <w:tcPr>
            <w:tcW w:w="5172" w:type="dxa"/>
            <w:shd w:val="clear" w:color="auto" w:fill="auto"/>
            <w:vAlign w:val="center"/>
          </w:tcPr>
          <w:p w:rsidR="00117962" w:rsidRPr="00117962" w:rsidRDefault="00117962" w:rsidP="00117962">
            <w:pPr>
              <w:rPr>
                <w:rFonts w:ascii="Arial" w:hAnsi="Arial" w:cs="Arial"/>
                <w:i/>
                <w:sz w:val="20"/>
                <w:szCs w:val="20"/>
              </w:rPr>
            </w:pPr>
            <w:r w:rsidRPr="00117962">
              <w:rPr>
                <w:rFonts w:ascii="Arial" w:hAnsi="Arial" w:cs="Arial"/>
                <w:i/>
                <w:sz w:val="20"/>
                <w:szCs w:val="20"/>
              </w:rPr>
              <w:t>Plazo de inicio en días hábiles</w:t>
            </w:r>
          </w:p>
        </w:tc>
        <w:tc>
          <w:tcPr>
            <w:tcW w:w="2798" w:type="dxa"/>
            <w:shd w:val="clear" w:color="auto" w:fill="auto"/>
            <w:vAlign w:val="center"/>
          </w:tcPr>
          <w:p w:rsidR="00117962" w:rsidRPr="00117962" w:rsidRDefault="00117962" w:rsidP="00117962">
            <w:pPr>
              <w:jc w:val="center"/>
              <w:rPr>
                <w:rFonts w:ascii="Arial" w:hAnsi="Arial" w:cs="Arial"/>
                <w:i/>
                <w:sz w:val="20"/>
                <w:szCs w:val="20"/>
              </w:rPr>
            </w:pPr>
            <w:r w:rsidRPr="00117962">
              <w:rPr>
                <w:rFonts w:ascii="Arial" w:hAnsi="Arial" w:cs="Arial"/>
                <w:i/>
                <w:sz w:val="20"/>
                <w:szCs w:val="20"/>
              </w:rPr>
              <w:t xml:space="preserve">Inmediato </w:t>
            </w:r>
          </w:p>
        </w:tc>
      </w:tr>
      <w:tr w:rsidR="00117962" w:rsidRPr="00117962" w:rsidTr="00C0749A">
        <w:trPr>
          <w:trHeight w:val="239"/>
        </w:trPr>
        <w:tc>
          <w:tcPr>
            <w:tcW w:w="5172" w:type="dxa"/>
            <w:shd w:val="clear" w:color="auto" w:fill="auto"/>
            <w:vAlign w:val="center"/>
          </w:tcPr>
          <w:p w:rsidR="00117962" w:rsidRPr="00117962" w:rsidRDefault="00117962" w:rsidP="00117962">
            <w:pPr>
              <w:rPr>
                <w:rFonts w:ascii="Arial" w:hAnsi="Arial" w:cs="Arial"/>
                <w:i/>
                <w:sz w:val="20"/>
                <w:szCs w:val="20"/>
              </w:rPr>
            </w:pPr>
            <w:r w:rsidRPr="00117962">
              <w:rPr>
                <w:rFonts w:ascii="Arial" w:hAnsi="Arial" w:cs="Arial"/>
                <w:i/>
                <w:sz w:val="20"/>
                <w:szCs w:val="20"/>
              </w:rPr>
              <w:t>Oferta firmada</w:t>
            </w:r>
          </w:p>
        </w:tc>
        <w:tc>
          <w:tcPr>
            <w:tcW w:w="2798" w:type="dxa"/>
            <w:shd w:val="clear" w:color="auto" w:fill="auto"/>
            <w:vAlign w:val="center"/>
          </w:tcPr>
          <w:p w:rsidR="00117962" w:rsidRPr="00117962" w:rsidRDefault="00117962" w:rsidP="00117962">
            <w:pPr>
              <w:jc w:val="center"/>
              <w:rPr>
                <w:rFonts w:ascii="Arial" w:hAnsi="Arial" w:cs="Arial"/>
                <w:i/>
                <w:sz w:val="20"/>
                <w:szCs w:val="20"/>
              </w:rPr>
            </w:pPr>
            <w:r w:rsidRPr="00117962">
              <w:rPr>
                <w:rFonts w:ascii="Arial" w:hAnsi="Arial" w:cs="Arial"/>
                <w:i/>
                <w:sz w:val="20"/>
                <w:szCs w:val="20"/>
              </w:rPr>
              <w:t>SI</w:t>
            </w:r>
          </w:p>
        </w:tc>
      </w:tr>
      <w:tr w:rsidR="00117962" w:rsidRPr="00117962" w:rsidTr="00C0749A">
        <w:trPr>
          <w:trHeight w:val="399"/>
        </w:trPr>
        <w:tc>
          <w:tcPr>
            <w:tcW w:w="5172" w:type="dxa"/>
            <w:shd w:val="clear" w:color="auto" w:fill="auto"/>
            <w:vAlign w:val="center"/>
          </w:tcPr>
          <w:p w:rsidR="00117962" w:rsidRPr="00117962" w:rsidRDefault="00117962" w:rsidP="00117962">
            <w:pPr>
              <w:jc w:val="both"/>
              <w:rPr>
                <w:rFonts w:ascii="Arial" w:hAnsi="Arial" w:cs="Arial"/>
                <w:i/>
                <w:sz w:val="20"/>
                <w:szCs w:val="20"/>
              </w:rPr>
            </w:pPr>
            <w:r w:rsidRPr="00117962">
              <w:rPr>
                <w:rFonts w:ascii="Arial" w:hAnsi="Arial" w:cs="Arial"/>
                <w:i/>
                <w:sz w:val="20"/>
                <w:szCs w:val="20"/>
              </w:rPr>
              <w:t>Declaración jurada de estar al día en el pago de impuestos nacionales</w:t>
            </w:r>
          </w:p>
        </w:tc>
        <w:tc>
          <w:tcPr>
            <w:tcW w:w="2798" w:type="dxa"/>
            <w:shd w:val="clear" w:color="auto" w:fill="auto"/>
            <w:vAlign w:val="center"/>
          </w:tcPr>
          <w:p w:rsidR="00117962" w:rsidRPr="00117962" w:rsidRDefault="00117962" w:rsidP="00117962">
            <w:pPr>
              <w:jc w:val="center"/>
              <w:rPr>
                <w:rFonts w:ascii="Arial" w:hAnsi="Arial" w:cs="Arial"/>
                <w:i/>
                <w:sz w:val="20"/>
                <w:szCs w:val="20"/>
              </w:rPr>
            </w:pPr>
            <w:r w:rsidRPr="00117962">
              <w:rPr>
                <w:rFonts w:ascii="Arial" w:hAnsi="Arial" w:cs="Arial"/>
                <w:i/>
                <w:sz w:val="20"/>
                <w:szCs w:val="20"/>
              </w:rPr>
              <w:t>Si presenta</w:t>
            </w:r>
          </w:p>
          <w:p w:rsidR="00117962" w:rsidRPr="00117962" w:rsidRDefault="00117962" w:rsidP="00117962">
            <w:pPr>
              <w:jc w:val="center"/>
              <w:rPr>
                <w:rFonts w:ascii="Arial" w:hAnsi="Arial" w:cs="Arial"/>
                <w:i/>
                <w:sz w:val="20"/>
                <w:szCs w:val="20"/>
              </w:rPr>
            </w:pPr>
            <w:r w:rsidRPr="00117962">
              <w:rPr>
                <w:rFonts w:ascii="Arial" w:hAnsi="Arial" w:cs="Arial"/>
                <w:i/>
                <w:sz w:val="20"/>
                <w:szCs w:val="20"/>
              </w:rPr>
              <w:t>Folio 0127</w:t>
            </w:r>
          </w:p>
        </w:tc>
      </w:tr>
      <w:tr w:rsidR="00117962" w:rsidRPr="00117962" w:rsidTr="00C0749A">
        <w:trPr>
          <w:trHeight w:val="399"/>
        </w:trPr>
        <w:tc>
          <w:tcPr>
            <w:tcW w:w="5172" w:type="dxa"/>
            <w:shd w:val="clear" w:color="auto" w:fill="auto"/>
            <w:vAlign w:val="center"/>
          </w:tcPr>
          <w:p w:rsidR="00117962" w:rsidRPr="00117962" w:rsidRDefault="00117962" w:rsidP="00117962">
            <w:pPr>
              <w:jc w:val="both"/>
              <w:rPr>
                <w:rFonts w:ascii="Arial" w:hAnsi="Arial" w:cs="Arial"/>
                <w:i/>
                <w:sz w:val="20"/>
                <w:szCs w:val="20"/>
              </w:rPr>
            </w:pPr>
            <w:r w:rsidRPr="00117962">
              <w:rPr>
                <w:rFonts w:ascii="Arial" w:hAnsi="Arial" w:cs="Arial"/>
                <w:i/>
                <w:sz w:val="20"/>
                <w:szCs w:val="20"/>
              </w:rPr>
              <w:t>Declaración jurada que no lo afecta los artículos 22 y 22 bis de la Ley de Contratación Administrativa</w:t>
            </w:r>
          </w:p>
        </w:tc>
        <w:tc>
          <w:tcPr>
            <w:tcW w:w="2798" w:type="dxa"/>
            <w:shd w:val="clear" w:color="auto" w:fill="auto"/>
            <w:vAlign w:val="center"/>
          </w:tcPr>
          <w:p w:rsidR="00117962" w:rsidRPr="00117962" w:rsidRDefault="00117962" w:rsidP="00117962">
            <w:pPr>
              <w:jc w:val="center"/>
              <w:rPr>
                <w:rFonts w:ascii="Arial" w:hAnsi="Arial" w:cs="Arial"/>
                <w:i/>
                <w:sz w:val="20"/>
                <w:szCs w:val="20"/>
              </w:rPr>
            </w:pPr>
            <w:r w:rsidRPr="00117962">
              <w:rPr>
                <w:rFonts w:ascii="Arial" w:hAnsi="Arial" w:cs="Arial"/>
                <w:i/>
                <w:sz w:val="20"/>
                <w:szCs w:val="20"/>
              </w:rPr>
              <w:t>Si presenta</w:t>
            </w:r>
          </w:p>
          <w:p w:rsidR="00117962" w:rsidRPr="00117962" w:rsidRDefault="00117962" w:rsidP="00117962">
            <w:pPr>
              <w:jc w:val="center"/>
              <w:rPr>
                <w:rFonts w:ascii="Arial" w:hAnsi="Arial" w:cs="Arial"/>
                <w:i/>
                <w:sz w:val="20"/>
                <w:szCs w:val="20"/>
              </w:rPr>
            </w:pPr>
            <w:r w:rsidRPr="00117962">
              <w:rPr>
                <w:rFonts w:ascii="Arial" w:hAnsi="Arial" w:cs="Arial"/>
                <w:i/>
                <w:sz w:val="20"/>
                <w:szCs w:val="20"/>
              </w:rPr>
              <w:t>Folio 0127</w:t>
            </w:r>
          </w:p>
        </w:tc>
      </w:tr>
      <w:tr w:rsidR="00117962" w:rsidRPr="00117962" w:rsidTr="00C0749A">
        <w:trPr>
          <w:trHeight w:val="399"/>
        </w:trPr>
        <w:tc>
          <w:tcPr>
            <w:tcW w:w="5172" w:type="dxa"/>
            <w:shd w:val="clear" w:color="auto" w:fill="auto"/>
            <w:vAlign w:val="center"/>
          </w:tcPr>
          <w:p w:rsidR="00117962" w:rsidRPr="00117962" w:rsidRDefault="00117962" w:rsidP="00117962">
            <w:pPr>
              <w:jc w:val="both"/>
              <w:rPr>
                <w:rFonts w:ascii="Arial" w:hAnsi="Arial" w:cs="Arial"/>
                <w:i/>
                <w:sz w:val="20"/>
                <w:szCs w:val="20"/>
              </w:rPr>
            </w:pPr>
            <w:r w:rsidRPr="00117962">
              <w:rPr>
                <w:rFonts w:ascii="Arial" w:hAnsi="Arial" w:cs="Arial"/>
                <w:i/>
                <w:sz w:val="20"/>
                <w:szCs w:val="20"/>
              </w:rPr>
              <w:lastRenderedPageBreak/>
              <w:t xml:space="preserve">Declaración jurada que no lo afecta el artículo 100  del Reglamento de la Ley Contratación Administrativa </w:t>
            </w:r>
          </w:p>
        </w:tc>
        <w:tc>
          <w:tcPr>
            <w:tcW w:w="2798" w:type="dxa"/>
            <w:shd w:val="clear" w:color="auto" w:fill="auto"/>
            <w:vAlign w:val="center"/>
          </w:tcPr>
          <w:p w:rsidR="00117962" w:rsidRPr="00117962" w:rsidRDefault="00117962" w:rsidP="00117962">
            <w:pPr>
              <w:jc w:val="center"/>
              <w:rPr>
                <w:rFonts w:ascii="Arial" w:hAnsi="Arial" w:cs="Arial"/>
                <w:i/>
                <w:sz w:val="20"/>
                <w:szCs w:val="20"/>
              </w:rPr>
            </w:pPr>
            <w:r w:rsidRPr="00117962">
              <w:rPr>
                <w:rFonts w:ascii="Arial" w:hAnsi="Arial" w:cs="Arial"/>
                <w:i/>
                <w:sz w:val="20"/>
                <w:szCs w:val="20"/>
              </w:rPr>
              <w:t>Si presenta</w:t>
            </w:r>
          </w:p>
          <w:p w:rsidR="00117962" w:rsidRPr="00117962" w:rsidRDefault="00117962" w:rsidP="00117962">
            <w:pPr>
              <w:jc w:val="center"/>
              <w:rPr>
                <w:rFonts w:ascii="Arial" w:hAnsi="Arial" w:cs="Arial"/>
                <w:i/>
                <w:sz w:val="20"/>
                <w:szCs w:val="20"/>
              </w:rPr>
            </w:pPr>
            <w:r w:rsidRPr="00117962">
              <w:rPr>
                <w:rFonts w:ascii="Arial" w:hAnsi="Arial" w:cs="Arial"/>
                <w:i/>
                <w:sz w:val="20"/>
                <w:szCs w:val="20"/>
              </w:rPr>
              <w:t>Folio 0127</w:t>
            </w:r>
          </w:p>
        </w:tc>
      </w:tr>
      <w:tr w:rsidR="00117962" w:rsidRPr="00117962" w:rsidTr="00C0749A">
        <w:trPr>
          <w:trHeight w:val="319"/>
        </w:trPr>
        <w:tc>
          <w:tcPr>
            <w:tcW w:w="5172" w:type="dxa"/>
            <w:shd w:val="clear" w:color="auto" w:fill="auto"/>
            <w:vAlign w:val="center"/>
          </w:tcPr>
          <w:p w:rsidR="00117962" w:rsidRPr="00117962" w:rsidRDefault="00117962" w:rsidP="00117962">
            <w:pPr>
              <w:jc w:val="both"/>
              <w:rPr>
                <w:rFonts w:ascii="Arial" w:hAnsi="Arial" w:cs="Arial"/>
                <w:i/>
                <w:sz w:val="20"/>
                <w:szCs w:val="20"/>
              </w:rPr>
            </w:pPr>
            <w:r w:rsidRPr="00117962">
              <w:rPr>
                <w:rFonts w:ascii="Arial" w:hAnsi="Arial" w:cs="Arial"/>
                <w:i/>
                <w:sz w:val="20"/>
                <w:szCs w:val="20"/>
              </w:rPr>
              <w:t>Cumplimiento del artículo 74 de la C.C.S.S</w:t>
            </w:r>
          </w:p>
        </w:tc>
        <w:tc>
          <w:tcPr>
            <w:tcW w:w="2798" w:type="dxa"/>
            <w:shd w:val="clear" w:color="auto" w:fill="auto"/>
            <w:vAlign w:val="center"/>
          </w:tcPr>
          <w:p w:rsidR="00117962" w:rsidRPr="00117962" w:rsidRDefault="00117962" w:rsidP="00117962">
            <w:pPr>
              <w:jc w:val="center"/>
              <w:rPr>
                <w:rFonts w:ascii="Arial" w:hAnsi="Arial" w:cs="Arial"/>
                <w:i/>
                <w:sz w:val="20"/>
                <w:szCs w:val="20"/>
              </w:rPr>
            </w:pPr>
            <w:r w:rsidRPr="00117962">
              <w:rPr>
                <w:rFonts w:ascii="Arial" w:hAnsi="Arial" w:cs="Arial"/>
                <w:i/>
                <w:sz w:val="20"/>
                <w:szCs w:val="20"/>
              </w:rPr>
              <w:t>Al Día</w:t>
            </w:r>
          </w:p>
        </w:tc>
      </w:tr>
      <w:tr w:rsidR="00117962" w:rsidRPr="00117962" w:rsidTr="00C0749A">
        <w:trPr>
          <w:trHeight w:val="319"/>
        </w:trPr>
        <w:tc>
          <w:tcPr>
            <w:tcW w:w="5172" w:type="dxa"/>
            <w:shd w:val="clear" w:color="auto" w:fill="auto"/>
            <w:vAlign w:val="center"/>
          </w:tcPr>
          <w:p w:rsidR="00117962" w:rsidRPr="00117962" w:rsidRDefault="00117962" w:rsidP="00117962">
            <w:pPr>
              <w:jc w:val="both"/>
              <w:rPr>
                <w:rFonts w:ascii="Arial" w:hAnsi="Arial" w:cs="Arial"/>
                <w:i/>
                <w:sz w:val="20"/>
                <w:szCs w:val="20"/>
              </w:rPr>
            </w:pPr>
            <w:r w:rsidRPr="00117962">
              <w:rPr>
                <w:rFonts w:ascii="Arial" w:hAnsi="Arial" w:cs="Arial"/>
                <w:i/>
                <w:sz w:val="20"/>
                <w:szCs w:val="20"/>
              </w:rPr>
              <w:t xml:space="preserve">Cumplimiento con Fondo de Asignaciones Familiares </w:t>
            </w:r>
            <w:proofErr w:type="spellStart"/>
            <w:r w:rsidRPr="00117962">
              <w:rPr>
                <w:rFonts w:ascii="Arial" w:hAnsi="Arial" w:cs="Arial"/>
                <w:i/>
                <w:sz w:val="20"/>
                <w:szCs w:val="20"/>
              </w:rPr>
              <w:t>Fodesaf</w:t>
            </w:r>
            <w:proofErr w:type="spellEnd"/>
          </w:p>
        </w:tc>
        <w:tc>
          <w:tcPr>
            <w:tcW w:w="2798" w:type="dxa"/>
            <w:shd w:val="clear" w:color="auto" w:fill="auto"/>
            <w:vAlign w:val="center"/>
          </w:tcPr>
          <w:p w:rsidR="00117962" w:rsidRPr="00117962" w:rsidRDefault="00117962" w:rsidP="00117962">
            <w:pPr>
              <w:jc w:val="center"/>
              <w:rPr>
                <w:rFonts w:ascii="Arial" w:hAnsi="Arial" w:cs="Arial"/>
                <w:i/>
                <w:sz w:val="20"/>
                <w:szCs w:val="20"/>
              </w:rPr>
            </w:pPr>
            <w:r w:rsidRPr="00117962">
              <w:rPr>
                <w:rFonts w:ascii="Arial" w:hAnsi="Arial" w:cs="Arial"/>
                <w:i/>
                <w:sz w:val="20"/>
                <w:szCs w:val="20"/>
              </w:rPr>
              <w:t>Al Día</w:t>
            </w:r>
          </w:p>
        </w:tc>
      </w:tr>
      <w:tr w:rsidR="00117962" w:rsidRPr="00117962" w:rsidTr="00C0749A">
        <w:trPr>
          <w:trHeight w:val="199"/>
        </w:trPr>
        <w:tc>
          <w:tcPr>
            <w:tcW w:w="5172" w:type="dxa"/>
            <w:shd w:val="clear" w:color="auto" w:fill="auto"/>
            <w:vAlign w:val="center"/>
          </w:tcPr>
          <w:p w:rsidR="00117962" w:rsidRPr="00117962" w:rsidRDefault="00117962" w:rsidP="00117962">
            <w:pPr>
              <w:rPr>
                <w:rFonts w:ascii="Arial" w:hAnsi="Arial" w:cs="Arial"/>
                <w:i/>
                <w:sz w:val="20"/>
                <w:szCs w:val="20"/>
              </w:rPr>
            </w:pPr>
            <w:r w:rsidRPr="00117962">
              <w:rPr>
                <w:rFonts w:ascii="Arial" w:hAnsi="Arial" w:cs="Arial"/>
                <w:i/>
                <w:sz w:val="20"/>
                <w:szCs w:val="20"/>
              </w:rPr>
              <w:t>Pago de Impuestos</w:t>
            </w:r>
          </w:p>
        </w:tc>
        <w:tc>
          <w:tcPr>
            <w:tcW w:w="2798" w:type="dxa"/>
            <w:shd w:val="clear" w:color="auto" w:fill="auto"/>
            <w:vAlign w:val="center"/>
          </w:tcPr>
          <w:p w:rsidR="00117962" w:rsidRPr="00117962" w:rsidRDefault="00117962" w:rsidP="00117962">
            <w:pPr>
              <w:jc w:val="center"/>
              <w:rPr>
                <w:rFonts w:ascii="Arial" w:hAnsi="Arial" w:cs="Arial"/>
                <w:i/>
                <w:sz w:val="20"/>
                <w:szCs w:val="20"/>
              </w:rPr>
            </w:pPr>
            <w:r w:rsidRPr="00117962">
              <w:rPr>
                <w:rFonts w:ascii="Arial" w:hAnsi="Arial" w:cs="Arial"/>
                <w:i/>
                <w:sz w:val="20"/>
                <w:szCs w:val="20"/>
              </w:rPr>
              <w:t>Al Día</w:t>
            </w:r>
          </w:p>
        </w:tc>
      </w:tr>
      <w:tr w:rsidR="00117962" w:rsidRPr="00117962" w:rsidTr="00C0749A">
        <w:trPr>
          <w:trHeight w:val="45"/>
        </w:trPr>
        <w:tc>
          <w:tcPr>
            <w:tcW w:w="5172" w:type="dxa"/>
            <w:shd w:val="clear" w:color="auto" w:fill="auto"/>
            <w:vAlign w:val="center"/>
          </w:tcPr>
          <w:p w:rsidR="00117962" w:rsidRPr="00117962" w:rsidRDefault="00117962" w:rsidP="00117962">
            <w:pPr>
              <w:rPr>
                <w:rFonts w:ascii="Arial" w:hAnsi="Arial" w:cs="Arial"/>
                <w:i/>
                <w:sz w:val="20"/>
                <w:szCs w:val="20"/>
              </w:rPr>
            </w:pPr>
            <w:r w:rsidRPr="00117962">
              <w:rPr>
                <w:rFonts w:ascii="Arial" w:hAnsi="Arial" w:cs="Arial"/>
                <w:i/>
                <w:sz w:val="20"/>
                <w:szCs w:val="20"/>
              </w:rPr>
              <w:t>Garantía de participación:</w:t>
            </w:r>
          </w:p>
        </w:tc>
        <w:tc>
          <w:tcPr>
            <w:tcW w:w="2798" w:type="dxa"/>
            <w:shd w:val="clear" w:color="auto" w:fill="auto"/>
            <w:vAlign w:val="center"/>
          </w:tcPr>
          <w:p w:rsidR="00117962" w:rsidRPr="00117962" w:rsidRDefault="00117962" w:rsidP="00117962">
            <w:pPr>
              <w:jc w:val="center"/>
              <w:rPr>
                <w:rFonts w:ascii="Arial" w:hAnsi="Arial" w:cs="Arial"/>
                <w:i/>
                <w:sz w:val="20"/>
                <w:szCs w:val="20"/>
              </w:rPr>
            </w:pPr>
          </w:p>
        </w:tc>
      </w:tr>
      <w:tr w:rsidR="00117962" w:rsidRPr="00117962" w:rsidTr="00C0749A">
        <w:trPr>
          <w:trHeight w:val="199"/>
        </w:trPr>
        <w:tc>
          <w:tcPr>
            <w:tcW w:w="5172" w:type="dxa"/>
            <w:shd w:val="clear" w:color="auto" w:fill="auto"/>
            <w:vAlign w:val="center"/>
          </w:tcPr>
          <w:p w:rsidR="00117962" w:rsidRPr="00117962" w:rsidRDefault="00117962" w:rsidP="00117962">
            <w:pPr>
              <w:numPr>
                <w:ilvl w:val="0"/>
                <w:numId w:val="23"/>
              </w:numPr>
              <w:rPr>
                <w:rFonts w:ascii="Arial" w:hAnsi="Arial" w:cs="Arial"/>
                <w:i/>
                <w:sz w:val="20"/>
                <w:szCs w:val="20"/>
              </w:rPr>
            </w:pPr>
            <w:r w:rsidRPr="00117962">
              <w:rPr>
                <w:rFonts w:ascii="Arial" w:hAnsi="Arial" w:cs="Arial"/>
                <w:i/>
                <w:sz w:val="20"/>
                <w:szCs w:val="20"/>
              </w:rPr>
              <w:t>Recibo</w:t>
            </w:r>
          </w:p>
        </w:tc>
        <w:tc>
          <w:tcPr>
            <w:tcW w:w="2798" w:type="dxa"/>
            <w:shd w:val="clear" w:color="auto" w:fill="auto"/>
            <w:vAlign w:val="center"/>
          </w:tcPr>
          <w:p w:rsidR="00117962" w:rsidRPr="00117962" w:rsidRDefault="00117962" w:rsidP="00117962">
            <w:pPr>
              <w:jc w:val="center"/>
              <w:rPr>
                <w:rFonts w:ascii="Arial" w:hAnsi="Arial" w:cs="Arial"/>
                <w:i/>
                <w:sz w:val="20"/>
                <w:szCs w:val="20"/>
              </w:rPr>
            </w:pPr>
            <w:r w:rsidRPr="00117962">
              <w:rPr>
                <w:rFonts w:ascii="Arial" w:hAnsi="Arial" w:cs="Arial"/>
                <w:i/>
                <w:sz w:val="20"/>
                <w:szCs w:val="20"/>
              </w:rPr>
              <w:t>382</w:t>
            </w:r>
          </w:p>
        </w:tc>
      </w:tr>
      <w:tr w:rsidR="00117962" w:rsidRPr="00117962" w:rsidTr="00C0749A">
        <w:trPr>
          <w:trHeight w:val="199"/>
        </w:trPr>
        <w:tc>
          <w:tcPr>
            <w:tcW w:w="5172" w:type="dxa"/>
            <w:shd w:val="clear" w:color="auto" w:fill="auto"/>
            <w:vAlign w:val="center"/>
          </w:tcPr>
          <w:p w:rsidR="00117962" w:rsidRPr="00117962" w:rsidRDefault="00117962" w:rsidP="00117962">
            <w:pPr>
              <w:numPr>
                <w:ilvl w:val="0"/>
                <w:numId w:val="23"/>
              </w:numPr>
              <w:rPr>
                <w:rFonts w:ascii="Arial" w:hAnsi="Arial" w:cs="Arial"/>
                <w:i/>
                <w:sz w:val="20"/>
                <w:szCs w:val="20"/>
              </w:rPr>
            </w:pPr>
            <w:r w:rsidRPr="00117962">
              <w:rPr>
                <w:rFonts w:ascii="Arial" w:hAnsi="Arial" w:cs="Arial"/>
                <w:i/>
                <w:sz w:val="20"/>
                <w:szCs w:val="20"/>
              </w:rPr>
              <w:t>Monto</w:t>
            </w:r>
          </w:p>
        </w:tc>
        <w:tc>
          <w:tcPr>
            <w:tcW w:w="2798" w:type="dxa"/>
            <w:shd w:val="clear" w:color="auto" w:fill="auto"/>
            <w:vAlign w:val="center"/>
          </w:tcPr>
          <w:p w:rsidR="00117962" w:rsidRPr="00117962" w:rsidRDefault="00117962" w:rsidP="00117962">
            <w:pPr>
              <w:jc w:val="center"/>
              <w:rPr>
                <w:rFonts w:ascii="Arial" w:hAnsi="Arial" w:cs="Arial"/>
                <w:i/>
                <w:sz w:val="20"/>
                <w:szCs w:val="20"/>
              </w:rPr>
            </w:pPr>
            <w:r w:rsidRPr="00117962">
              <w:rPr>
                <w:rFonts w:ascii="Arial" w:hAnsi="Arial" w:cs="Arial"/>
                <w:i/>
                <w:sz w:val="20"/>
                <w:szCs w:val="20"/>
              </w:rPr>
              <w:t>¢1,530.000,00</w:t>
            </w:r>
          </w:p>
        </w:tc>
      </w:tr>
      <w:tr w:rsidR="00117962" w:rsidRPr="00117962" w:rsidTr="00C0749A">
        <w:trPr>
          <w:trHeight w:val="199"/>
        </w:trPr>
        <w:tc>
          <w:tcPr>
            <w:tcW w:w="5172" w:type="dxa"/>
            <w:shd w:val="clear" w:color="auto" w:fill="auto"/>
            <w:vAlign w:val="center"/>
          </w:tcPr>
          <w:p w:rsidR="00117962" w:rsidRPr="00117962" w:rsidRDefault="00117962" w:rsidP="00117962">
            <w:pPr>
              <w:numPr>
                <w:ilvl w:val="0"/>
                <w:numId w:val="23"/>
              </w:numPr>
              <w:rPr>
                <w:rFonts w:ascii="Arial" w:hAnsi="Arial" w:cs="Arial"/>
                <w:i/>
                <w:sz w:val="20"/>
                <w:szCs w:val="20"/>
              </w:rPr>
            </w:pPr>
            <w:r w:rsidRPr="00117962">
              <w:rPr>
                <w:rFonts w:ascii="Arial" w:hAnsi="Arial" w:cs="Arial"/>
                <w:i/>
                <w:sz w:val="20"/>
                <w:szCs w:val="20"/>
              </w:rPr>
              <w:t>Vigencia</w:t>
            </w:r>
          </w:p>
        </w:tc>
        <w:tc>
          <w:tcPr>
            <w:tcW w:w="2798" w:type="dxa"/>
            <w:shd w:val="clear" w:color="auto" w:fill="auto"/>
            <w:vAlign w:val="center"/>
          </w:tcPr>
          <w:p w:rsidR="00117962" w:rsidRPr="00117962" w:rsidRDefault="00117962" w:rsidP="00117962">
            <w:pPr>
              <w:jc w:val="center"/>
              <w:rPr>
                <w:rFonts w:ascii="Arial" w:hAnsi="Arial" w:cs="Arial"/>
                <w:i/>
                <w:sz w:val="20"/>
                <w:szCs w:val="20"/>
              </w:rPr>
            </w:pPr>
            <w:r w:rsidRPr="00117962">
              <w:rPr>
                <w:rFonts w:ascii="Arial" w:hAnsi="Arial" w:cs="Arial"/>
                <w:i/>
                <w:sz w:val="20"/>
                <w:szCs w:val="20"/>
              </w:rPr>
              <w:t>13/12/2019</w:t>
            </w:r>
          </w:p>
        </w:tc>
      </w:tr>
      <w:tr w:rsidR="00117962" w:rsidRPr="00117962" w:rsidTr="00C0749A">
        <w:trPr>
          <w:trHeight w:val="199"/>
        </w:trPr>
        <w:tc>
          <w:tcPr>
            <w:tcW w:w="5172" w:type="dxa"/>
            <w:shd w:val="clear" w:color="auto" w:fill="auto"/>
            <w:vAlign w:val="center"/>
          </w:tcPr>
          <w:p w:rsidR="00117962" w:rsidRPr="00117962" w:rsidRDefault="00117962" w:rsidP="00117962">
            <w:pPr>
              <w:numPr>
                <w:ilvl w:val="0"/>
                <w:numId w:val="23"/>
              </w:numPr>
              <w:rPr>
                <w:rFonts w:ascii="Arial" w:hAnsi="Arial" w:cs="Arial"/>
                <w:i/>
                <w:sz w:val="20"/>
                <w:szCs w:val="20"/>
              </w:rPr>
            </w:pPr>
            <w:r w:rsidRPr="00117962">
              <w:rPr>
                <w:rFonts w:ascii="Arial" w:hAnsi="Arial" w:cs="Arial"/>
                <w:i/>
                <w:sz w:val="20"/>
                <w:szCs w:val="20"/>
              </w:rPr>
              <w:t>Precio mensual ofertado</w:t>
            </w:r>
          </w:p>
        </w:tc>
        <w:tc>
          <w:tcPr>
            <w:tcW w:w="2798" w:type="dxa"/>
            <w:shd w:val="clear" w:color="auto" w:fill="auto"/>
          </w:tcPr>
          <w:p w:rsidR="00117962" w:rsidRPr="00117962" w:rsidRDefault="00117962" w:rsidP="00117962">
            <w:pPr>
              <w:jc w:val="center"/>
              <w:rPr>
                <w:rFonts w:ascii="Arial" w:hAnsi="Arial" w:cs="Arial"/>
                <w:i/>
                <w:sz w:val="20"/>
                <w:szCs w:val="20"/>
              </w:rPr>
            </w:pPr>
            <w:r w:rsidRPr="00117962">
              <w:rPr>
                <w:rFonts w:ascii="Arial" w:hAnsi="Arial" w:cs="Arial"/>
                <w:i/>
                <w:sz w:val="20"/>
                <w:szCs w:val="20"/>
              </w:rPr>
              <w:t>¢12,148,748.34</w:t>
            </w:r>
          </w:p>
        </w:tc>
      </w:tr>
      <w:tr w:rsidR="00117962" w:rsidRPr="00117962" w:rsidTr="00C0749A">
        <w:trPr>
          <w:trHeight w:val="199"/>
        </w:trPr>
        <w:tc>
          <w:tcPr>
            <w:tcW w:w="5172" w:type="dxa"/>
            <w:shd w:val="clear" w:color="auto" w:fill="auto"/>
            <w:vAlign w:val="center"/>
          </w:tcPr>
          <w:p w:rsidR="00117962" w:rsidRPr="00117962" w:rsidRDefault="00117962" w:rsidP="00117962">
            <w:pPr>
              <w:numPr>
                <w:ilvl w:val="0"/>
                <w:numId w:val="23"/>
              </w:numPr>
              <w:rPr>
                <w:rFonts w:ascii="Arial" w:hAnsi="Arial" w:cs="Arial"/>
                <w:i/>
                <w:sz w:val="20"/>
                <w:szCs w:val="20"/>
              </w:rPr>
            </w:pPr>
            <w:r w:rsidRPr="00117962">
              <w:rPr>
                <w:rFonts w:ascii="Arial" w:hAnsi="Arial" w:cs="Arial"/>
                <w:i/>
                <w:sz w:val="20"/>
                <w:szCs w:val="20"/>
              </w:rPr>
              <w:t>Monto Total de la oferta</w:t>
            </w:r>
          </w:p>
        </w:tc>
        <w:tc>
          <w:tcPr>
            <w:tcW w:w="2798" w:type="dxa"/>
            <w:shd w:val="clear" w:color="auto" w:fill="auto"/>
          </w:tcPr>
          <w:p w:rsidR="00117962" w:rsidRPr="00117962" w:rsidRDefault="00117962" w:rsidP="00117962">
            <w:pPr>
              <w:jc w:val="center"/>
              <w:rPr>
                <w:rFonts w:ascii="Arial" w:hAnsi="Arial" w:cs="Arial"/>
                <w:i/>
                <w:sz w:val="20"/>
                <w:szCs w:val="20"/>
              </w:rPr>
            </w:pPr>
            <w:r w:rsidRPr="00117962">
              <w:rPr>
                <w:rFonts w:ascii="Arial" w:hAnsi="Arial" w:cs="Arial"/>
                <w:i/>
                <w:sz w:val="20"/>
                <w:szCs w:val="20"/>
              </w:rPr>
              <w:t>¢145,784,980.08</w:t>
            </w:r>
          </w:p>
        </w:tc>
      </w:tr>
    </w:tbl>
    <w:p w:rsidR="00117962" w:rsidRPr="00117962" w:rsidRDefault="00117962" w:rsidP="00117962">
      <w:pPr>
        <w:ind w:left="992"/>
        <w:jc w:val="both"/>
        <w:rPr>
          <w:rFonts w:ascii="Arial" w:eastAsia="MS Mincho" w:hAnsi="Arial" w:cs="Arial"/>
          <w:i/>
          <w:sz w:val="22"/>
          <w:szCs w:val="22"/>
        </w:rPr>
      </w:pPr>
    </w:p>
    <w:p w:rsidR="00117962" w:rsidRPr="00117962" w:rsidRDefault="00117962" w:rsidP="00117962">
      <w:pPr>
        <w:ind w:left="992"/>
        <w:jc w:val="both"/>
        <w:rPr>
          <w:rFonts w:ascii="Arial" w:eastAsia="MS Mincho" w:hAnsi="Arial" w:cs="Arial"/>
          <w:i/>
          <w:sz w:val="22"/>
          <w:szCs w:val="22"/>
        </w:rPr>
      </w:pPr>
      <w:r w:rsidRPr="00117962">
        <w:rPr>
          <w:rFonts w:ascii="Arial" w:eastAsia="MS Mincho" w:hAnsi="Arial" w:cs="Arial"/>
          <w:i/>
          <w:sz w:val="22"/>
          <w:szCs w:val="22"/>
        </w:rPr>
        <w:t>…</w:t>
      </w:r>
    </w:p>
    <w:p w:rsidR="00117962" w:rsidRPr="00117962" w:rsidRDefault="00117962" w:rsidP="00117962">
      <w:pPr>
        <w:keepNext/>
        <w:numPr>
          <w:ilvl w:val="0"/>
          <w:numId w:val="29"/>
        </w:numPr>
        <w:spacing w:before="120" w:after="120"/>
        <w:ind w:left="1276" w:hanging="357"/>
        <w:jc w:val="both"/>
        <w:outlineLvl w:val="0"/>
        <w:rPr>
          <w:rFonts w:ascii="Arial" w:hAnsi="Arial" w:cs="Arial"/>
          <w:b/>
          <w:bCs/>
          <w:i/>
          <w:kern w:val="32"/>
          <w:sz w:val="22"/>
          <w:szCs w:val="22"/>
        </w:rPr>
      </w:pPr>
      <w:bookmarkStart w:id="4" w:name="_Toc22137297"/>
      <w:r w:rsidRPr="00117962">
        <w:rPr>
          <w:rFonts w:ascii="Arial" w:hAnsi="Arial" w:cs="Arial"/>
          <w:b/>
          <w:bCs/>
          <w:i/>
          <w:kern w:val="32"/>
          <w:sz w:val="22"/>
          <w:szCs w:val="22"/>
        </w:rPr>
        <w:t>Análisis del aspecto legal:</w:t>
      </w:r>
      <w:bookmarkEnd w:id="4"/>
    </w:p>
    <w:p w:rsidR="00117962" w:rsidRPr="00117962" w:rsidRDefault="00117962" w:rsidP="00117962">
      <w:pPr>
        <w:ind w:left="992"/>
        <w:jc w:val="both"/>
        <w:rPr>
          <w:rFonts w:ascii="Arial" w:eastAsia="MS Mincho" w:hAnsi="Arial" w:cs="Arial"/>
          <w:i/>
          <w:sz w:val="22"/>
          <w:szCs w:val="22"/>
        </w:rPr>
      </w:pPr>
      <w:r w:rsidRPr="00117962">
        <w:rPr>
          <w:rFonts w:ascii="Arial" w:eastAsia="MS Mincho" w:hAnsi="Arial" w:cs="Arial"/>
          <w:i/>
          <w:sz w:val="22"/>
          <w:szCs w:val="22"/>
        </w:rPr>
        <w:t>Según consta en los folios del 0162 al 0163, mediante el oficio Asesoría Legal-530-2019, suscrito por la M.Sc. Grettel Ortíz Álvarez, Directora de la Asesoría Legal, esa Oficina realiza el análisis legal de la oferta presentada.</w:t>
      </w:r>
    </w:p>
    <w:p w:rsidR="00117962" w:rsidRPr="00117962" w:rsidRDefault="00117962" w:rsidP="00117962">
      <w:pPr>
        <w:ind w:left="992"/>
        <w:jc w:val="both"/>
        <w:rPr>
          <w:rFonts w:ascii="Arial" w:eastAsia="MS Mincho" w:hAnsi="Arial" w:cs="Arial"/>
          <w:i/>
          <w:sz w:val="22"/>
          <w:szCs w:val="22"/>
        </w:rPr>
      </w:pPr>
      <w:r w:rsidRPr="00117962">
        <w:rPr>
          <w:rFonts w:ascii="Arial" w:eastAsia="MS Mincho" w:hAnsi="Arial" w:cs="Arial"/>
          <w:i/>
          <w:sz w:val="22"/>
          <w:szCs w:val="22"/>
        </w:rPr>
        <w:t>La oferta recibida cumple con los requerimientos legales indicados en el cartel.</w:t>
      </w:r>
    </w:p>
    <w:p w:rsidR="00117962" w:rsidRPr="00117962" w:rsidRDefault="00117962" w:rsidP="00117962">
      <w:pPr>
        <w:keepNext/>
        <w:numPr>
          <w:ilvl w:val="0"/>
          <w:numId w:val="29"/>
        </w:numPr>
        <w:spacing w:before="120" w:after="120"/>
        <w:ind w:left="1276" w:hanging="357"/>
        <w:jc w:val="both"/>
        <w:outlineLvl w:val="0"/>
        <w:rPr>
          <w:rFonts w:ascii="Arial" w:hAnsi="Arial" w:cs="Arial"/>
          <w:b/>
          <w:bCs/>
          <w:i/>
          <w:kern w:val="32"/>
          <w:sz w:val="22"/>
          <w:szCs w:val="22"/>
        </w:rPr>
      </w:pPr>
      <w:bookmarkStart w:id="5" w:name="_Toc22137298"/>
      <w:r w:rsidRPr="00117962">
        <w:rPr>
          <w:rFonts w:ascii="Arial" w:hAnsi="Arial" w:cs="Arial"/>
          <w:b/>
          <w:bCs/>
          <w:i/>
          <w:kern w:val="32"/>
          <w:sz w:val="22"/>
          <w:szCs w:val="22"/>
        </w:rPr>
        <w:t>Análisis Técnico</w:t>
      </w:r>
      <w:bookmarkEnd w:id="5"/>
    </w:p>
    <w:p w:rsidR="00117962" w:rsidRPr="00117962" w:rsidRDefault="00117962" w:rsidP="00117962">
      <w:pPr>
        <w:ind w:left="992"/>
        <w:jc w:val="both"/>
        <w:rPr>
          <w:rFonts w:ascii="Arial" w:eastAsia="MS Mincho" w:hAnsi="Arial" w:cs="Arial"/>
          <w:i/>
          <w:sz w:val="22"/>
          <w:szCs w:val="22"/>
        </w:rPr>
      </w:pPr>
      <w:r w:rsidRPr="00117962">
        <w:rPr>
          <w:rFonts w:ascii="Arial" w:eastAsia="MS Mincho" w:hAnsi="Arial" w:cs="Arial"/>
          <w:i/>
          <w:sz w:val="22"/>
          <w:szCs w:val="22"/>
        </w:rPr>
        <w:t>El día 08 de octubre de 2019, se recibe el análisis técnico de la oferta, mediante el oficio SGSC/075/2019, suscrito por el Bach. Dennis Méndez Palma, Coordinador de la Unidad de Servicios Generales, Sede San Carlos. (Véase Folios del 0158 al 0159 del expediente). Se destaca por relevante lo siguiente:</w:t>
      </w:r>
    </w:p>
    <w:p w:rsidR="00117962" w:rsidRPr="00117962" w:rsidRDefault="00117962" w:rsidP="00117962">
      <w:pPr>
        <w:ind w:left="992"/>
        <w:jc w:val="both"/>
        <w:rPr>
          <w:rFonts w:ascii="Arial" w:eastAsia="MS Mincho" w:hAnsi="Arial" w:cs="Arial"/>
          <w:i/>
          <w:sz w:val="22"/>
          <w:szCs w:val="22"/>
        </w:rPr>
      </w:pPr>
    </w:p>
    <w:p w:rsidR="00117962" w:rsidRPr="00117962" w:rsidRDefault="00117962" w:rsidP="00117962">
      <w:pPr>
        <w:numPr>
          <w:ilvl w:val="0"/>
          <w:numId w:val="26"/>
        </w:numPr>
        <w:autoSpaceDE w:val="0"/>
        <w:autoSpaceDN w:val="0"/>
        <w:adjustRightInd w:val="0"/>
        <w:ind w:left="1276"/>
        <w:rPr>
          <w:rFonts w:ascii="Arial" w:hAnsi="Arial" w:cs="Arial"/>
          <w:i/>
          <w:color w:val="000000"/>
          <w:sz w:val="22"/>
          <w:szCs w:val="22"/>
          <w:lang w:val="es-CR" w:eastAsia="es-CR"/>
        </w:rPr>
      </w:pPr>
      <w:r w:rsidRPr="00117962">
        <w:rPr>
          <w:rFonts w:ascii="Arial" w:hAnsi="Arial" w:cs="Arial"/>
          <w:i/>
          <w:color w:val="000000"/>
          <w:sz w:val="22"/>
          <w:szCs w:val="22"/>
          <w:lang w:val="es-CR" w:eastAsia="es-CR"/>
        </w:rPr>
        <w:t xml:space="preserve">Se recibe únicamente la oferta por parte de la empresa </w:t>
      </w:r>
      <w:proofErr w:type="spellStart"/>
      <w:r w:rsidRPr="00117962">
        <w:rPr>
          <w:rFonts w:ascii="Arial" w:hAnsi="Arial" w:cs="Arial"/>
          <w:i/>
          <w:color w:val="000000"/>
          <w:sz w:val="22"/>
          <w:szCs w:val="22"/>
          <w:lang w:val="es-CR" w:eastAsia="es-CR"/>
        </w:rPr>
        <w:t>Cosertec</w:t>
      </w:r>
      <w:proofErr w:type="spellEnd"/>
      <w:r w:rsidRPr="00117962">
        <w:rPr>
          <w:rFonts w:ascii="Arial" w:hAnsi="Arial" w:cs="Arial"/>
          <w:i/>
          <w:color w:val="000000"/>
          <w:sz w:val="22"/>
          <w:szCs w:val="22"/>
          <w:lang w:val="es-CR" w:eastAsia="es-CR"/>
        </w:rPr>
        <w:t xml:space="preserve"> R &amp; S S.A. </w:t>
      </w:r>
    </w:p>
    <w:p w:rsidR="00117962" w:rsidRPr="00117962" w:rsidRDefault="00117962" w:rsidP="00117962">
      <w:pPr>
        <w:numPr>
          <w:ilvl w:val="0"/>
          <w:numId w:val="26"/>
        </w:numPr>
        <w:autoSpaceDE w:val="0"/>
        <w:autoSpaceDN w:val="0"/>
        <w:adjustRightInd w:val="0"/>
        <w:ind w:left="1276"/>
        <w:rPr>
          <w:rFonts w:ascii="Arial" w:hAnsi="Arial" w:cs="Arial"/>
          <w:i/>
          <w:color w:val="000000"/>
          <w:sz w:val="22"/>
          <w:szCs w:val="22"/>
          <w:lang w:val="es-CR" w:eastAsia="es-CR"/>
        </w:rPr>
      </w:pPr>
      <w:r w:rsidRPr="00117962">
        <w:rPr>
          <w:rFonts w:ascii="Arial" w:hAnsi="Arial" w:cs="Arial"/>
          <w:i/>
          <w:color w:val="000000"/>
          <w:sz w:val="22"/>
          <w:szCs w:val="22"/>
          <w:lang w:val="es-CR" w:eastAsia="es-CR"/>
        </w:rPr>
        <w:t xml:space="preserve">El precio es razonable. </w:t>
      </w:r>
    </w:p>
    <w:p w:rsidR="00117962" w:rsidRPr="00117962" w:rsidRDefault="00117962" w:rsidP="00117962">
      <w:pPr>
        <w:autoSpaceDE w:val="0"/>
        <w:autoSpaceDN w:val="0"/>
        <w:adjustRightInd w:val="0"/>
        <w:ind w:left="916"/>
        <w:rPr>
          <w:rFonts w:ascii="Arial" w:hAnsi="Arial" w:cs="Arial"/>
          <w:i/>
          <w:color w:val="000000"/>
          <w:sz w:val="22"/>
          <w:szCs w:val="22"/>
          <w:lang w:val="es-CR" w:eastAsia="es-CR"/>
        </w:rPr>
      </w:pPr>
    </w:p>
    <w:p w:rsidR="00117962" w:rsidRPr="00117962" w:rsidRDefault="00117962" w:rsidP="00117962">
      <w:pPr>
        <w:ind w:left="992"/>
        <w:jc w:val="both"/>
        <w:rPr>
          <w:rFonts w:ascii="Arial" w:hAnsi="Arial" w:cs="Arial"/>
          <w:i/>
          <w:sz w:val="22"/>
        </w:rPr>
      </w:pPr>
      <w:r w:rsidRPr="00117962">
        <w:rPr>
          <w:rFonts w:ascii="Arial" w:hAnsi="Arial" w:cs="Arial"/>
          <w:i/>
          <w:sz w:val="22"/>
        </w:rPr>
        <w:t>La distribución de los factores de evaluación se definió de la siguiente manera:</w:t>
      </w:r>
    </w:p>
    <w:p w:rsidR="00117962" w:rsidRPr="00117962" w:rsidRDefault="00117962" w:rsidP="00117962">
      <w:pPr>
        <w:ind w:left="992"/>
        <w:jc w:val="both"/>
        <w:rPr>
          <w:rFonts w:ascii="Arial" w:hAnsi="Arial" w:cs="Arial"/>
          <w:i/>
          <w:sz w:val="22"/>
        </w:rPr>
      </w:pPr>
    </w:p>
    <w:tbl>
      <w:tblPr>
        <w:tblW w:w="5713" w:type="dxa"/>
        <w:jc w:val="center"/>
        <w:tblBorders>
          <w:top w:val="single" w:sz="12" w:space="0" w:color="000000"/>
          <w:bottom w:val="single" w:sz="12" w:space="0" w:color="000000"/>
        </w:tblBorders>
        <w:tblLook w:val="0020" w:firstRow="1" w:lastRow="0" w:firstColumn="0" w:lastColumn="0" w:noHBand="0" w:noVBand="0"/>
      </w:tblPr>
      <w:tblGrid>
        <w:gridCol w:w="4219"/>
        <w:gridCol w:w="1494"/>
      </w:tblGrid>
      <w:tr w:rsidR="00117962" w:rsidRPr="00117962" w:rsidTr="00C0749A">
        <w:trPr>
          <w:trHeight w:val="50"/>
          <w:jc w:val="center"/>
        </w:trPr>
        <w:tc>
          <w:tcPr>
            <w:tcW w:w="4219" w:type="dxa"/>
            <w:tcBorders>
              <w:bottom w:val="single" w:sz="6" w:space="0" w:color="000000"/>
            </w:tcBorders>
            <w:shd w:val="clear" w:color="auto" w:fill="auto"/>
          </w:tcPr>
          <w:p w:rsidR="00117962" w:rsidRPr="00117962" w:rsidRDefault="00117962" w:rsidP="00117962">
            <w:pPr>
              <w:tabs>
                <w:tab w:val="left" w:pos="426"/>
              </w:tabs>
              <w:jc w:val="both"/>
              <w:rPr>
                <w:rFonts w:ascii="Arial" w:hAnsi="Arial" w:cs="Arial"/>
                <w:b/>
                <w:bCs/>
                <w:i/>
                <w:iCs/>
                <w:sz w:val="20"/>
                <w:szCs w:val="22"/>
              </w:rPr>
            </w:pPr>
            <w:r w:rsidRPr="00117962">
              <w:rPr>
                <w:rFonts w:ascii="Arial" w:hAnsi="Arial" w:cs="Arial"/>
                <w:b/>
                <w:bCs/>
                <w:i/>
                <w:iCs/>
                <w:sz w:val="20"/>
                <w:szCs w:val="22"/>
              </w:rPr>
              <w:t>FACTOR</w:t>
            </w:r>
          </w:p>
        </w:tc>
        <w:tc>
          <w:tcPr>
            <w:tcW w:w="1494" w:type="dxa"/>
            <w:tcBorders>
              <w:bottom w:val="single" w:sz="6" w:space="0" w:color="000000"/>
            </w:tcBorders>
            <w:shd w:val="clear" w:color="auto" w:fill="auto"/>
          </w:tcPr>
          <w:p w:rsidR="00117962" w:rsidRPr="00117962" w:rsidRDefault="00117962" w:rsidP="00117962">
            <w:pPr>
              <w:tabs>
                <w:tab w:val="left" w:pos="426"/>
              </w:tabs>
              <w:jc w:val="both"/>
              <w:rPr>
                <w:rFonts w:ascii="Arial" w:hAnsi="Arial" w:cs="Arial"/>
                <w:b/>
                <w:bCs/>
                <w:i/>
                <w:iCs/>
                <w:sz w:val="20"/>
                <w:szCs w:val="22"/>
              </w:rPr>
            </w:pPr>
            <w:r w:rsidRPr="00117962">
              <w:rPr>
                <w:rFonts w:ascii="Arial" w:hAnsi="Arial" w:cs="Arial"/>
                <w:b/>
                <w:bCs/>
                <w:i/>
                <w:iCs/>
                <w:sz w:val="20"/>
                <w:szCs w:val="22"/>
              </w:rPr>
              <w:t>Porcentaje</w:t>
            </w:r>
          </w:p>
        </w:tc>
      </w:tr>
      <w:tr w:rsidR="00117962" w:rsidRPr="00117962" w:rsidTr="00C0749A">
        <w:trPr>
          <w:trHeight w:val="307"/>
          <w:jc w:val="center"/>
        </w:trPr>
        <w:tc>
          <w:tcPr>
            <w:tcW w:w="4219" w:type="dxa"/>
            <w:shd w:val="clear" w:color="auto" w:fill="auto"/>
          </w:tcPr>
          <w:p w:rsidR="00117962" w:rsidRPr="00117962" w:rsidRDefault="00117962" w:rsidP="00117962">
            <w:pPr>
              <w:tabs>
                <w:tab w:val="left" w:pos="426"/>
              </w:tabs>
              <w:jc w:val="both"/>
              <w:rPr>
                <w:rFonts w:ascii="Arial" w:hAnsi="Arial" w:cs="Arial"/>
                <w:sz w:val="20"/>
                <w:szCs w:val="22"/>
              </w:rPr>
            </w:pPr>
            <w:r w:rsidRPr="00117962">
              <w:rPr>
                <w:rFonts w:ascii="Arial" w:hAnsi="Arial" w:cs="Arial"/>
                <w:sz w:val="20"/>
                <w:szCs w:val="22"/>
              </w:rPr>
              <w:t>Precio</w:t>
            </w:r>
          </w:p>
        </w:tc>
        <w:tc>
          <w:tcPr>
            <w:tcW w:w="1494" w:type="dxa"/>
            <w:shd w:val="clear" w:color="auto" w:fill="auto"/>
            <w:vAlign w:val="center"/>
          </w:tcPr>
          <w:p w:rsidR="00117962" w:rsidRPr="00117962" w:rsidRDefault="00117962" w:rsidP="00117962">
            <w:pPr>
              <w:tabs>
                <w:tab w:val="left" w:pos="426"/>
              </w:tabs>
              <w:jc w:val="center"/>
              <w:rPr>
                <w:rFonts w:ascii="Arial" w:hAnsi="Arial" w:cs="Arial"/>
                <w:sz w:val="20"/>
                <w:szCs w:val="22"/>
              </w:rPr>
            </w:pPr>
            <w:r w:rsidRPr="00117962">
              <w:rPr>
                <w:rFonts w:ascii="Arial" w:hAnsi="Arial" w:cs="Arial"/>
                <w:sz w:val="20"/>
                <w:szCs w:val="22"/>
              </w:rPr>
              <w:t>85%</w:t>
            </w:r>
          </w:p>
        </w:tc>
      </w:tr>
      <w:tr w:rsidR="00117962" w:rsidRPr="00117962" w:rsidTr="00C0749A">
        <w:trPr>
          <w:jc w:val="center"/>
        </w:trPr>
        <w:tc>
          <w:tcPr>
            <w:tcW w:w="4219" w:type="dxa"/>
            <w:shd w:val="clear" w:color="auto" w:fill="auto"/>
          </w:tcPr>
          <w:p w:rsidR="00117962" w:rsidRPr="00117962" w:rsidRDefault="00117962" w:rsidP="00117962">
            <w:pPr>
              <w:tabs>
                <w:tab w:val="left" w:pos="426"/>
              </w:tabs>
              <w:jc w:val="both"/>
              <w:rPr>
                <w:rFonts w:ascii="Arial" w:hAnsi="Arial" w:cs="Arial"/>
                <w:sz w:val="20"/>
                <w:szCs w:val="22"/>
              </w:rPr>
            </w:pPr>
            <w:r w:rsidRPr="00117962">
              <w:rPr>
                <w:rFonts w:ascii="Arial" w:hAnsi="Arial" w:cs="Arial"/>
                <w:sz w:val="20"/>
                <w:szCs w:val="22"/>
              </w:rPr>
              <w:t>Experiencia</w:t>
            </w:r>
          </w:p>
        </w:tc>
        <w:tc>
          <w:tcPr>
            <w:tcW w:w="1494" w:type="dxa"/>
            <w:shd w:val="clear" w:color="auto" w:fill="auto"/>
            <w:vAlign w:val="center"/>
          </w:tcPr>
          <w:p w:rsidR="00117962" w:rsidRPr="00117962" w:rsidRDefault="00117962" w:rsidP="00117962">
            <w:pPr>
              <w:tabs>
                <w:tab w:val="left" w:pos="426"/>
              </w:tabs>
              <w:jc w:val="center"/>
              <w:rPr>
                <w:rFonts w:ascii="Arial" w:hAnsi="Arial" w:cs="Arial"/>
                <w:sz w:val="20"/>
                <w:szCs w:val="22"/>
              </w:rPr>
            </w:pPr>
            <w:r w:rsidRPr="00117962">
              <w:rPr>
                <w:rFonts w:ascii="Arial" w:hAnsi="Arial" w:cs="Arial"/>
                <w:sz w:val="20"/>
                <w:szCs w:val="22"/>
              </w:rPr>
              <w:t>15%</w:t>
            </w:r>
          </w:p>
        </w:tc>
      </w:tr>
      <w:tr w:rsidR="00117962" w:rsidRPr="00117962" w:rsidTr="00C0749A">
        <w:trPr>
          <w:trHeight w:val="376"/>
          <w:jc w:val="center"/>
        </w:trPr>
        <w:tc>
          <w:tcPr>
            <w:tcW w:w="4219" w:type="dxa"/>
            <w:shd w:val="clear" w:color="auto" w:fill="auto"/>
            <w:vAlign w:val="center"/>
          </w:tcPr>
          <w:p w:rsidR="00117962" w:rsidRPr="00117962" w:rsidRDefault="00117962" w:rsidP="00117962">
            <w:pPr>
              <w:tabs>
                <w:tab w:val="left" w:pos="426"/>
              </w:tabs>
              <w:rPr>
                <w:rFonts w:ascii="Arial" w:hAnsi="Arial" w:cs="Arial"/>
                <w:b/>
                <w:sz w:val="20"/>
                <w:szCs w:val="22"/>
              </w:rPr>
            </w:pPr>
            <w:r w:rsidRPr="00117962">
              <w:rPr>
                <w:rFonts w:ascii="Arial" w:hAnsi="Arial" w:cs="Arial"/>
                <w:b/>
                <w:sz w:val="20"/>
                <w:szCs w:val="22"/>
              </w:rPr>
              <w:t>TOTAL</w:t>
            </w:r>
          </w:p>
        </w:tc>
        <w:tc>
          <w:tcPr>
            <w:tcW w:w="1494" w:type="dxa"/>
            <w:shd w:val="clear" w:color="auto" w:fill="auto"/>
            <w:vAlign w:val="center"/>
          </w:tcPr>
          <w:p w:rsidR="00117962" w:rsidRPr="00117962" w:rsidRDefault="00117962" w:rsidP="00117962">
            <w:pPr>
              <w:tabs>
                <w:tab w:val="left" w:pos="426"/>
              </w:tabs>
              <w:jc w:val="center"/>
              <w:rPr>
                <w:rFonts w:ascii="Arial" w:hAnsi="Arial" w:cs="Arial"/>
                <w:b/>
                <w:sz w:val="20"/>
                <w:szCs w:val="22"/>
              </w:rPr>
            </w:pPr>
            <w:r w:rsidRPr="00117962">
              <w:rPr>
                <w:rFonts w:ascii="Arial" w:hAnsi="Arial" w:cs="Arial"/>
                <w:b/>
                <w:sz w:val="20"/>
                <w:szCs w:val="22"/>
              </w:rPr>
              <w:t>100%</w:t>
            </w:r>
          </w:p>
        </w:tc>
      </w:tr>
    </w:tbl>
    <w:p w:rsidR="00117962" w:rsidRPr="00117962" w:rsidRDefault="00117962" w:rsidP="00117962">
      <w:pPr>
        <w:ind w:left="425"/>
        <w:jc w:val="both"/>
        <w:rPr>
          <w:rFonts w:ascii="Arial" w:hAnsi="Arial" w:cs="Arial"/>
          <w:sz w:val="22"/>
        </w:rPr>
      </w:pPr>
    </w:p>
    <w:p w:rsidR="00117962" w:rsidRPr="00117962" w:rsidRDefault="00117962" w:rsidP="00117962">
      <w:pPr>
        <w:ind w:left="992"/>
        <w:jc w:val="both"/>
        <w:rPr>
          <w:rFonts w:ascii="Arial" w:hAnsi="Arial" w:cs="Arial"/>
          <w:i/>
          <w:sz w:val="22"/>
        </w:rPr>
      </w:pPr>
      <w:r w:rsidRPr="00117962">
        <w:rPr>
          <w:rFonts w:ascii="Arial" w:hAnsi="Arial" w:cs="Arial"/>
          <w:i/>
          <w:sz w:val="22"/>
        </w:rPr>
        <w:t>A continuación, el análisis de cada factor:</w:t>
      </w:r>
    </w:p>
    <w:p w:rsidR="00117962" w:rsidRPr="00117962" w:rsidRDefault="00117962" w:rsidP="00117962">
      <w:pPr>
        <w:ind w:left="1058"/>
        <w:contextualSpacing/>
        <w:rPr>
          <w:rFonts w:ascii="Arial" w:hAnsi="Arial" w:cs="Arial"/>
          <w:b/>
          <w:i/>
          <w:color w:val="17365D"/>
          <w:sz w:val="16"/>
          <w:szCs w:val="16"/>
          <w:u w:val="single"/>
        </w:rPr>
      </w:pPr>
    </w:p>
    <w:p w:rsidR="00117962" w:rsidRPr="00117962" w:rsidRDefault="00117962" w:rsidP="00117962">
      <w:pPr>
        <w:numPr>
          <w:ilvl w:val="0"/>
          <w:numId w:val="25"/>
        </w:numPr>
        <w:ind w:left="1418"/>
        <w:contextualSpacing/>
        <w:rPr>
          <w:rFonts w:ascii="Arial" w:hAnsi="Arial" w:cs="Arial"/>
          <w:b/>
          <w:i/>
          <w:sz w:val="22"/>
          <w:u w:val="single"/>
        </w:rPr>
      </w:pPr>
      <w:r w:rsidRPr="00117962">
        <w:rPr>
          <w:rFonts w:ascii="Arial" w:hAnsi="Arial" w:cs="Arial"/>
          <w:b/>
          <w:i/>
          <w:sz w:val="22"/>
          <w:u w:val="single"/>
        </w:rPr>
        <w:t>Precio</w:t>
      </w:r>
    </w:p>
    <w:p w:rsidR="00117962" w:rsidRDefault="00117962" w:rsidP="00117962">
      <w:pPr>
        <w:ind w:left="1418"/>
        <w:rPr>
          <w:rFonts w:ascii="Arial" w:hAnsi="Arial" w:cs="Arial"/>
          <w:i/>
          <w:sz w:val="22"/>
        </w:rPr>
      </w:pPr>
      <w:r w:rsidRPr="00117962">
        <w:rPr>
          <w:rFonts w:ascii="Arial" w:hAnsi="Arial" w:cs="Arial"/>
          <w:i/>
          <w:sz w:val="22"/>
        </w:rPr>
        <w:t>El factor precio tiene asignado un porcentaje de 85%. El precio presentado por la oferta elegible se detalla a continuación:</w:t>
      </w:r>
    </w:p>
    <w:p w:rsidR="003F2318" w:rsidRDefault="003F2318" w:rsidP="00117962">
      <w:pPr>
        <w:ind w:left="1418"/>
        <w:rPr>
          <w:rFonts w:ascii="Arial" w:hAnsi="Arial" w:cs="Arial"/>
          <w:i/>
          <w:sz w:val="22"/>
        </w:rPr>
      </w:pPr>
    </w:p>
    <w:p w:rsidR="003F2318" w:rsidRDefault="003F2318" w:rsidP="00117962">
      <w:pPr>
        <w:ind w:left="1418"/>
        <w:rPr>
          <w:rFonts w:ascii="Arial" w:hAnsi="Arial" w:cs="Arial"/>
          <w:i/>
          <w:sz w:val="22"/>
        </w:rPr>
      </w:pPr>
    </w:p>
    <w:p w:rsidR="003F2318" w:rsidRDefault="003F2318" w:rsidP="00117962">
      <w:pPr>
        <w:ind w:left="1418"/>
        <w:rPr>
          <w:rFonts w:ascii="Arial" w:hAnsi="Arial" w:cs="Arial"/>
          <w:i/>
          <w:sz w:val="22"/>
        </w:rPr>
      </w:pPr>
    </w:p>
    <w:p w:rsidR="003F2318" w:rsidRDefault="003F2318" w:rsidP="00117962">
      <w:pPr>
        <w:ind w:left="1418"/>
        <w:rPr>
          <w:rFonts w:ascii="Arial" w:hAnsi="Arial" w:cs="Arial"/>
          <w:i/>
          <w:sz w:val="22"/>
        </w:rPr>
      </w:pPr>
    </w:p>
    <w:p w:rsidR="003F2318" w:rsidRDefault="003F2318" w:rsidP="00117962">
      <w:pPr>
        <w:ind w:left="1418"/>
        <w:rPr>
          <w:rFonts w:ascii="Arial" w:hAnsi="Arial" w:cs="Arial"/>
          <w:i/>
          <w:sz w:val="22"/>
        </w:rPr>
      </w:pPr>
    </w:p>
    <w:p w:rsidR="003F2318" w:rsidRPr="00117962" w:rsidRDefault="003F2318" w:rsidP="00117962">
      <w:pPr>
        <w:ind w:left="1418"/>
        <w:rPr>
          <w:rFonts w:ascii="Arial" w:hAnsi="Arial" w:cs="Arial"/>
          <w:i/>
          <w:sz w:val="22"/>
        </w:rPr>
      </w:pPr>
    </w:p>
    <w:p w:rsidR="00117962" w:rsidRPr="00117962" w:rsidRDefault="00117962" w:rsidP="00117962">
      <w:pPr>
        <w:ind w:left="1418"/>
        <w:rPr>
          <w:rFonts w:ascii="Arial" w:hAnsi="Arial" w:cs="Arial"/>
          <w:i/>
          <w:sz w:val="22"/>
        </w:rPr>
      </w:pPr>
    </w:p>
    <w:tbl>
      <w:tblPr>
        <w:tblStyle w:val="Tabladecuadrcula1clara-nfasis3"/>
        <w:tblW w:w="0" w:type="auto"/>
        <w:tblInd w:w="1267" w:type="dxa"/>
        <w:tblLook w:val="04A0" w:firstRow="1" w:lastRow="0" w:firstColumn="1" w:lastColumn="0" w:noHBand="0" w:noVBand="1"/>
      </w:tblPr>
      <w:tblGrid>
        <w:gridCol w:w="3114"/>
        <w:gridCol w:w="3402"/>
      </w:tblGrid>
      <w:tr w:rsidR="00117962" w:rsidRPr="00117962" w:rsidTr="00C074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117962" w:rsidRPr="00117962" w:rsidRDefault="00117962" w:rsidP="00117962">
            <w:pPr>
              <w:jc w:val="center"/>
              <w:rPr>
                <w:rFonts w:ascii="Arial" w:hAnsi="Arial" w:cs="Arial"/>
                <w:i/>
                <w:sz w:val="22"/>
                <w:szCs w:val="22"/>
              </w:rPr>
            </w:pPr>
            <w:r w:rsidRPr="00117962">
              <w:rPr>
                <w:rFonts w:ascii="Arial" w:hAnsi="Arial" w:cs="Arial"/>
                <w:i/>
                <w:sz w:val="22"/>
                <w:szCs w:val="22"/>
              </w:rPr>
              <w:t>Factor de evaluación</w:t>
            </w:r>
          </w:p>
        </w:tc>
        <w:tc>
          <w:tcPr>
            <w:tcW w:w="3402" w:type="dxa"/>
          </w:tcPr>
          <w:p w:rsidR="00117962" w:rsidRPr="00117962" w:rsidRDefault="00117962" w:rsidP="00117962">
            <w:pPr>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sidRPr="00117962">
              <w:rPr>
                <w:rFonts w:ascii="Arial" w:hAnsi="Arial" w:cs="Arial"/>
                <w:i/>
                <w:sz w:val="22"/>
                <w:szCs w:val="22"/>
              </w:rPr>
              <w:t>Compañía de Servicios Técnicos R&amp;S S.A.</w:t>
            </w:r>
          </w:p>
        </w:tc>
      </w:tr>
      <w:tr w:rsidR="00117962" w:rsidRPr="00117962" w:rsidTr="00C0749A">
        <w:tc>
          <w:tcPr>
            <w:cnfStyle w:val="001000000000" w:firstRow="0" w:lastRow="0" w:firstColumn="1" w:lastColumn="0" w:oddVBand="0" w:evenVBand="0" w:oddHBand="0" w:evenHBand="0" w:firstRowFirstColumn="0" w:firstRowLastColumn="0" w:lastRowFirstColumn="0" w:lastRowLastColumn="0"/>
            <w:tcW w:w="3114" w:type="dxa"/>
          </w:tcPr>
          <w:p w:rsidR="00117962" w:rsidRPr="00117962" w:rsidRDefault="00117962" w:rsidP="00117962">
            <w:pPr>
              <w:rPr>
                <w:rFonts w:ascii="Arial" w:hAnsi="Arial" w:cs="Arial"/>
                <w:i/>
                <w:sz w:val="22"/>
                <w:szCs w:val="22"/>
              </w:rPr>
            </w:pPr>
            <w:r w:rsidRPr="00117962">
              <w:rPr>
                <w:rFonts w:ascii="Arial" w:hAnsi="Arial" w:cs="Arial"/>
                <w:i/>
                <w:sz w:val="22"/>
                <w:szCs w:val="22"/>
              </w:rPr>
              <w:t>Precio Mensual</w:t>
            </w:r>
          </w:p>
        </w:tc>
        <w:tc>
          <w:tcPr>
            <w:tcW w:w="3402" w:type="dxa"/>
          </w:tcPr>
          <w:p w:rsidR="00117962" w:rsidRPr="00117962" w:rsidRDefault="00117962" w:rsidP="00117962">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117962">
              <w:rPr>
                <w:rFonts w:ascii="Arial" w:hAnsi="Arial" w:cs="Arial"/>
                <w:i/>
                <w:sz w:val="20"/>
                <w:szCs w:val="20"/>
              </w:rPr>
              <w:t>¢12,148,748.34</w:t>
            </w:r>
          </w:p>
        </w:tc>
      </w:tr>
      <w:tr w:rsidR="00117962" w:rsidRPr="00117962" w:rsidTr="00C0749A">
        <w:tc>
          <w:tcPr>
            <w:cnfStyle w:val="001000000000" w:firstRow="0" w:lastRow="0" w:firstColumn="1" w:lastColumn="0" w:oddVBand="0" w:evenVBand="0" w:oddHBand="0" w:evenHBand="0" w:firstRowFirstColumn="0" w:firstRowLastColumn="0" w:lastRowFirstColumn="0" w:lastRowLastColumn="0"/>
            <w:tcW w:w="3114" w:type="dxa"/>
          </w:tcPr>
          <w:p w:rsidR="00117962" w:rsidRPr="00117962" w:rsidRDefault="00117962" w:rsidP="00117962">
            <w:pPr>
              <w:rPr>
                <w:rFonts w:ascii="Arial" w:hAnsi="Arial" w:cs="Arial"/>
                <w:i/>
                <w:sz w:val="22"/>
                <w:szCs w:val="22"/>
              </w:rPr>
            </w:pPr>
            <w:r w:rsidRPr="00117962">
              <w:rPr>
                <w:rFonts w:ascii="Arial" w:hAnsi="Arial" w:cs="Arial"/>
                <w:i/>
                <w:sz w:val="22"/>
                <w:szCs w:val="22"/>
              </w:rPr>
              <w:t>Porcentaje</w:t>
            </w:r>
          </w:p>
        </w:tc>
        <w:tc>
          <w:tcPr>
            <w:tcW w:w="3402" w:type="dxa"/>
          </w:tcPr>
          <w:p w:rsidR="00117962" w:rsidRPr="00117962" w:rsidRDefault="00117962" w:rsidP="00117962">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22"/>
                <w:szCs w:val="22"/>
              </w:rPr>
            </w:pPr>
            <w:r w:rsidRPr="00117962">
              <w:rPr>
                <w:rFonts w:ascii="Arial" w:hAnsi="Arial" w:cs="Arial"/>
                <w:b/>
                <w:bCs/>
                <w:i/>
                <w:color w:val="000000"/>
                <w:sz w:val="22"/>
                <w:szCs w:val="22"/>
              </w:rPr>
              <w:t>85,00%</w:t>
            </w:r>
          </w:p>
        </w:tc>
      </w:tr>
    </w:tbl>
    <w:p w:rsidR="00117962" w:rsidRPr="00117962" w:rsidRDefault="00117962" w:rsidP="00117962">
      <w:pPr>
        <w:ind w:left="425"/>
        <w:rPr>
          <w:rFonts w:ascii="Arial" w:hAnsi="Arial" w:cs="Arial"/>
          <w:sz w:val="22"/>
        </w:rPr>
      </w:pPr>
    </w:p>
    <w:p w:rsidR="00117962" w:rsidRPr="00117962" w:rsidRDefault="00117962" w:rsidP="00117962">
      <w:pPr>
        <w:ind w:left="851"/>
        <w:rPr>
          <w:rFonts w:ascii="Arial" w:hAnsi="Arial" w:cs="Arial"/>
          <w:i/>
          <w:sz w:val="22"/>
        </w:rPr>
      </w:pPr>
      <w:r w:rsidRPr="00117962">
        <w:rPr>
          <w:rFonts w:ascii="Arial" w:hAnsi="Arial" w:cs="Arial"/>
          <w:i/>
          <w:sz w:val="22"/>
        </w:rPr>
        <w:t xml:space="preserve">La oferta presentada por la empresa </w:t>
      </w:r>
      <w:r w:rsidRPr="00117962">
        <w:rPr>
          <w:rFonts w:ascii="Arial" w:hAnsi="Arial" w:cs="Arial"/>
          <w:i/>
          <w:sz w:val="22"/>
          <w:szCs w:val="22"/>
        </w:rPr>
        <w:t xml:space="preserve">Compañía de Servicios Técnicos R&amp;S S.A. </w:t>
      </w:r>
      <w:r w:rsidRPr="00117962">
        <w:rPr>
          <w:rFonts w:ascii="Arial" w:hAnsi="Arial" w:cs="Arial"/>
          <w:i/>
          <w:sz w:val="22"/>
        </w:rPr>
        <w:t xml:space="preserve">obtiene el puntaje de 85%. </w:t>
      </w:r>
    </w:p>
    <w:p w:rsidR="00117962" w:rsidRPr="00117962" w:rsidRDefault="00117962" w:rsidP="00117962">
      <w:pPr>
        <w:ind w:left="425"/>
        <w:rPr>
          <w:rFonts w:ascii="Arial" w:hAnsi="Arial" w:cs="Arial"/>
          <w:sz w:val="22"/>
        </w:rPr>
      </w:pPr>
    </w:p>
    <w:p w:rsidR="00117962" w:rsidRPr="00117962" w:rsidRDefault="00117962" w:rsidP="00117962">
      <w:pPr>
        <w:numPr>
          <w:ilvl w:val="0"/>
          <w:numId w:val="25"/>
        </w:numPr>
        <w:ind w:left="1418"/>
        <w:contextualSpacing/>
        <w:rPr>
          <w:rFonts w:ascii="Arial" w:hAnsi="Arial" w:cs="Arial"/>
          <w:b/>
          <w:i/>
          <w:sz w:val="22"/>
          <w:u w:val="single"/>
        </w:rPr>
      </w:pPr>
      <w:r w:rsidRPr="00117962">
        <w:rPr>
          <w:rFonts w:ascii="Arial" w:hAnsi="Arial" w:cs="Arial"/>
          <w:b/>
          <w:i/>
          <w:sz w:val="22"/>
          <w:u w:val="single"/>
        </w:rPr>
        <w:t>Experiencia</w:t>
      </w:r>
    </w:p>
    <w:p w:rsidR="00117962" w:rsidRPr="00117962" w:rsidRDefault="00117962" w:rsidP="00117962">
      <w:pPr>
        <w:ind w:left="1058"/>
        <w:contextualSpacing/>
        <w:rPr>
          <w:rFonts w:ascii="Arial" w:hAnsi="Arial" w:cs="Arial"/>
          <w:b/>
          <w:i/>
          <w:color w:val="17365D"/>
          <w:sz w:val="16"/>
          <w:szCs w:val="16"/>
          <w:u w:val="single"/>
        </w:rPr>
      </w:pPr>
    </w:p>
    <w:p w:rsidR="00117962" w:rsidRPr="00117962" w:rsidRDefault="00117962" w:rsidP="00117962">
      <w:pPr>
        <w:ind w:left="851"/>
        <w:rPr>
          <w:rFonts w:ascii="Arial" w:hAnsi="Arial" w:cs="Arial"/>
          <w:i/>
          <w:sz w:val="22"/>
        </w:rPr>
      </w:pPr>
      <w:r w:rsidRPr="00117962">
        <w:rPr>
          <w:rFonts w:ascii="Arial" w:hAnsi="Arial" w:cs="Arial"/>
          <w:i/>
          <w:sz w:val="22"/>
        </w:rPr>
        <w:t>El porcentaje asignado a este factor es de 15%.</w:t>
      </w:r>
    </w:p>
    <w:p w:rsidR="00117962" w:rsidRPr="00117962" w:rsidRDefault="00117962" w:rsidP="00117962">
      <w:pPr>
        <w:ind w:left="851"/>
        <w:rPr>
          <w:rFonts w:ascii="Arial" w:hAnsi="Arial" w:cs="Arial"/>
          <w:i/>
          <w:sz w:val="22"/>
        </w:rPr>
      </w:pPr>
      <w:r w:rsidRPr="00117962">
        <w:rPr>
          <w:rFonts w:ascii="Arial" w:hAnsi="Arial" w:cs="Arial"/>
          <w:i/>
          <w:sz w:val="22"/>
        </w:rPr>
        <w:t>A continuación, el detalle del porcentaje obtenido por la empresa oferente:</w:t>
      </w:r>
    </w:p>
    <w:p w:rsidR="00117962" w:rsidRPr="00117962" w:rsidRDefault="00117962" w:rsidP="00117962">
      <w:pPr>
        <w:ind w:left="1058"/>
        <w:contextualSpacing/>
        <w:rPr>
          <w:rFonts w:ascii="Arial" w:hAnsi="Arial" w:cs="Arial"/>
          <w:b/>
          <w:i/>
          <w:color w:val="17365D"/>
          <w:sz w:val="16"/>
          <w:szCs w:val="16"/>
          <w:u w:val="single"/>
        </w:rPr>
      </w:pPr>
    </w:p>
    <w:tbl>
      <w:tblPr>
        <w:tblStyle w:val="Tabladecuadrcula1clara-nfasis3"/>
        <w:tblW w:w="7938" w:type="dxa"/>
        <w:tblInd w:w="595" w:type="dxa"/>
        <w:tblLook w:val="04A0" w:firstRow="1" w:lastRow="0" w:firstColumn="1" w:lastColumn="0" w:noHBand="0" w:noVBand="1"/>
      </w:tblPr>
      <w:tblGrid>
        <w:gridCol w:w="3969"/>
        <w:gridCol w:w="1275"/>
        <w:gridCol w:w="2694"/>
      </w:tblGrid>
      <w:tr w:rsidR="00117962" w:rsidRPr="00117962" w:rsidTr="00C074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117962" w:rsidRPr="00117962" w:rsidRDefault="00117962" w:rsidP="00117962">
            <w:pPr>
              <w:jc w:val="center"/>
              <w:rPr>
                <w:i/>
                <w:sz w:val="20"/>
                <w:szCs w:val="20"/>
              </w:rPr>
            </w:pPr>
            <w:r w:rsidRPr="00117962">
              <w:rPr>
                <w:i/>
                <w:sz w:val="20"/>
                <w:szCs w:val="20"/>
              </w:rPr>
              <w:t xml:space="preserve">Experiencia </w:t>
            </w:r>
          </w:p>
        </w:tc>
        <w:tc>
          <w:tcPr>
            <w:tcW w:w="1275" w:type="dxa"/>
          </w:tcPr>
          <w:p w:rsidR="00117962" w:rsidRPr="00117962" w:rsidRDefault="00117962" w:rsidP="00117962">
            <w:pPr>
              <w:jc w:val="center"/>
              <w:cnfStyle w:val="100000000000" w:firstRow="1" w:lastRow="0" w:firstColumn="0" w:lastColumn="0" w:oddVBand="0" w:evenVBand="0" w:oddHBand="0" w:evenHBand="0" w:firstRowFirstColumn="0" w:firstRowLastColumn="0" w:lastRowFirstColumn="0" w:lastRowLastColumn="0"/>
              <w:rPr>
                <w:i/>
                <w:sz w:val="20"/>
                <w:szCs w:val="20"/>
              </w:rPr>
            </w:pPr>
            <w:r w:rsidRPr="00117962">
              <w:rPr>
                <w:i/>
                <w:sz w:val="20"/>
                <w:szCs w:val="20"/>
              </w:rPr>
              <w:t>Porcentaje</w:t>
            </w:r>
          </w:p>
        </w:tc>
        <w:tc>
          <w:tcPr>
            <w:tcW w:w="2694" w:type="dxa"/>
          </w:tcPr>
          <w:p w:rsidR="00117962" w:rsidRPr="00117962" w:rsidRDefault="00117962" w:rsidP="00117962">
            <w:pPr>
              <w:jc w:val="center"/>
              <w:cnfStyle w:val="100000000000" w:firstRow="1" w:lastRow="0" w:firstColumn="0" w:lastColumn="0" w:oddVBand="0" w:evenVBand="0" w:oddHBand="0" w:evenHBand="0" w:firstRowFirstColumn="0" w:firstRowLastColumn="0" w:lastRowFirstColumn="0" w:lastRowLastColumn="0"/>
              <w:rPr>
                <w:i/>
                <w:sz w:val="20"/>
                <w:szCs w:val="20"/>
              </w:rPr>
            </w:pPr>
            <w:r w:rsidRPr="00117962">
              <w:rPr>
                <w:i/>
                <w:sz w:val="20"/>
                <w:szCs w:val="20"/>
              </w:rPr>
              <w:t>Compañía de Servicios Técnicos R&amp;S S.A.</w:t>
            </w:r>
          </w:p>
        </w:tc>
      </w:tr>
      <w:tr w:rsidR="00117962" w:rsidRPr="00117962" w:rsidTr="00C0749A">
        <w:tc>
          <w:tcPr>
            <w:cnfStyle w:val="001000000000" w:firstRow="0" w:lastRow="0" w:firstColumn="1" w:lastColumn="0" w:oddVBand="0" w:evenVBand="0" w:oddHBand="0" w:evenHBand="0" w:firstRowFirstColumn="0" w:firstRowLastColumn="0" w:lastRowFirstColumn="0" w:lastRowLastColumn="0"/>
            <w:tcW w:w="3969" w:type="dxa"/>
          </w:tcPr>
          <w:p w:rsidR="00117962" w:rsidRPr="00117962" w:rsidRDefault="00117962" w:rsidP="00117962">
            <w:pPr>
              <w:jc w:val="both"/>
              <w:rPr>
                <w:i/>
                <w:color w:val="000000"/>
                <w:sz w:val="20"/>
                <w:szCs w:val="20"/>
                <w:lang w:eastAsia="es-CR"/>
              </w:rPr>
            </w:pPr>
            <w:r w:rsidRPr="00117962">
              <w:rPr>
                <w:rFonts w:eastAsia="MS Mincho"/>
                <w:i/>
                <w:sz w:val="20"/>
                <w:szCs w:val="20"/>
              </w:rPr>
              <w:t>Superior a 5 y hasta igual a 7 años</w:t>
            </w:r>
          </w:p>
        </w:tc>
        <w:tc>
          <w:tcPr>
            <w:tcW w:w="1275" w:type="dxa"/>
          </w:tcPr>
          <w:p w:rsidR="00117962" w:rsidRPr="00117962" w:rsidRDefault="00117962" w:rsidP="00117962">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117962">
              <w:rPr>
                <w:i/>
                <w:sz w:val="20"/>
                <w:szCs w:val="20"/>
              </w:rPr>
              <w:t>5%</w:t>
            </w:r>
          </w:p>
        </w:tc>
        <w:tc>
          <w:tcPr>
            <w:tcW w:w="2694" w:type="dxa"/>
          </w:tcPr>
          <w:p w:rsidR="00117962" w:rsidRPr="00117962" w:rsidRDefault="00117962" w:rsidP="00117962">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117962">
              <w:rPr>
                <w:i/>
                <w:sz w:val="20"/>
                <w:szCs w:val="20"/>
              </w:rPr>
              <w:t>---</w:t>
            </w:r>
          </w:p>
        </w:tc>
      </w:tr>
      <w:tr w:rsidR="00117962" w:rsidRPr="00117962" w:rsidTr="00C0749A">
        <w:tc>
          <w:tcPr>
            <w:cnfStyle w:val="001000000000" w:firstRow="0" w:lastRow="0" w:firstColumn="1" w:lastColumn="0" w:oddVBand="0" w:evenVBand="0" w:oddHBand="0" w:evenHBand="0" w:firstRowFirstColumn="0" w:firstRowLastColumn="0" w:lastRowFirstColumn="0" w:lastRowLastColumn="0"/>
            <w:tcW w:w="3969" w:type="dxa"/>
          </w:tcPr>
          <w:p w:rsidR="00117962" w:rsidRPr="00117962" w:rsidRDefault="00117962" w:rsidP="00117962">
            <w:pPr>
              <w:jc w:val="both"/>
              <w:rPr>
                <w:i/>
                <w:color w:val="000000"/>
                <w:sz w:val="20"/>
                <w:szCs w:val="20"/>
                <w:lang w:eastAsia="es-CR"/>
              </w:rPr>
            </w:pPr>
            <w:r w:rsidRPr="00117962">
              <w:rPr>
                <w:rFonts w:eastAsia="MS Mincho"/>
                <w:i/>
                <w:sz w:val="20"/>
                <w:szCs w:val="20"/>
              </w:rPr>
              <w:t>Superior a 7 y hasta igual o más a 10 años</w:t>
            </w:r>
          </w:p>
        </w:tc>
        <w:tc>
          <w:tcPr>
            <w:tcW w:w="1275" w:type="dxa"/>
          </w:tcPr>
          <w:p w:rsidR="00117962" w:rsidRPr="00117962" w:rsidRDefault="00117962" w:rsidP="00117962">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117962">
              <w:rPr>
                <w:i/>
                <w:sz w:val="20"/>
                <w:szCs w:val="20"/>
              </w:rPr>
              <w:t>15%</w:t>
            </w:r>
          </w:p>
        </w:tc>
        <w:tc>
          <w:tcPr>
            <w:tcW w:w="2694" w:type="dxa"/>
          </w:tcPr>
          <w:p w:rsidR="00117962" w:rsidRPr="00117962" w:rsidRDefault="00117962" w:rsidP="00117962">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117962">
              <w:rPr>
                <w:i/>
                <w:sz w:val="20"/>
                <w:szCs w:val="20"/>
              </w:rPr>
              <w:t>15% (17 años)</w:t>
            </w:r>
          </w:p>
        </w:tc>
      </w:tr>
      <w:tr w:rsidR="00117962" w:rsidRPr="00117962" w:rsidTr="00C0749A">
        <w:tc>
          <w:tcPr>
            <w:cnfStyle w:val="001000000000" w:firstRow="0" w:lastRow="0" w:firstColumn="1" w:lastColumn="0" w:oddVBand="0" w:evenVBand="0" w:oddHBand="0" w:evenHBand="0" w:firstRowFirstColumn="0" w:firstRowLastColumn="0" w:lastRowFirstColumn="0" w:lastRowLastColumn="0"/>
            <w:tcW w:w="3969" w:type="dxa"/>
          </w:tcPr>
          <w:p w:rsidR="00117962" w:rsidRPr="00117962" w:rsidRDefault="00117962" w:rsidP="00117962">
            <w:pPr>
              <w:rPr>
                <w:i/>
                <w:sz w:val="20"/>
                <w:szCs w:val="20"/>
              </w:rPr>
            </w:pPr>
            <w:r w:rsidRPr="00117962">
              <w:rPr>
                <w:i/>
                <w:sz w:val="20"/>
                <w:szCs w:val="20"/>
              </w:rPr>
              <w:t>Porcentaje</w:t>
            </w:r>
          </w:p>
        </w:tc>
        <w:tc>
          <w:tcPr>
            <w:tcW w:w="1275" w:type="dxa"/>
          </w:tcPr>
          <w:p w:rsidR="00117962" w:rsidRPr="00117962" w:rsidRDefault="00117962" w:rsidP="00117962">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117962">
              <w:rPr>
                <w:i/>
                <w:sz w:val="20"/>
                <w:szCs w:val="20"/>
              </w:rPr>
              <w:t>15%</w:t>
            </w:r>
          </w:p>
        </w:tc>
        <w:tc>
          <w:tcPr>
            <w:tcW w:w="2694" w:type="dxa"/>
          </w:tcPr>
          <w:p w:rsidR="00117962" w:rsidRPr="00117962" w:rsidRDefault="00117962" w:rsidP="00117962">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117962">
              <w:rPr>
                <w:i/>
                <w:sz w:val="20"/>
                <w:szCs w:val="20"/>
              </w:rPr>
              <w:t>15%</w:t>
            </w:r>
          </w:p>
        </w:tc>
      </w:tr>
    </w:tbl>
    <w:p w:rsidR="00117962" w:rsidRPr="00117962" w:rsidRDefault="00117962" w:rsidP="00117962">
      <w:pPr>
        <w:ind w:left="851"/>
        <w:rPr>
          <w:rFonts w:ascii="Arial" w:hAnsi="Arial" w:cs="Arial"/>
          <w:i/>
          <w:sz w:val="10"/>
          <w:szCs w:val="10"/>
        </w:rPr>
      </w:pPr>
    </w:p>
    <w:p w:rsidR="00117962" w:rsidRDefault="00117962" w:rsidP="00117962">
      <w:pPr>
        <w:ind w:left="851"/>
        <w:rPr>
          <w:rFonts w:ascii="Arial" w:hAnsi="Arial" w:cs="Arial"/>
          <w:i/>
          <w:sz w:val="22"/>
        </w:rPr>
      </w:pPr>
      <w:r w:rsidRPr="00117962">
        <w:rPr>
          <w:rFonts w:ascii="Arial" w:hAnsi="Arial" w:cs="Arial"/>
          <w:i/>
          <w:sz w:val="22"/>
        </w:rPr>
        <w:t>La oferta de la empresa Compañía de Servicios Técnicos R&amp;S S.A. obtiene el 15% asignado a este factor.</w:t>
      </w:r>
    </w:p>
    <w:p w:rsidR="00117962" w:rsidRPr="00117962" w:rsidRDefault="00117962" w:rsidP="00117962">
      <w:pPr>
        <w:ind w:left="851"/>
        <w:rPr>
          <w:rFonts w:ascii="Arial" w:hAnsi="Arial" w:cs="Arial"/>
          <w:i/>
          <w:sz w:val="22"/>
        </w:rPr>
      </w:pPr>
    </w:p>
    <w:p w:rsidR="00117962" w:rsidRPr="00117962" w:rsidRDefault="00117962" w:rsidP="00117962">
      <w:pPr>
        <w:numPr>
          <w:ilvl w:val="0"/>
          <w:numId w:val="25"/>
        </w:numPr>
        <w:ind w:left="1418"/>
        <w:contextualSpacing/>
        <w:rPr>
          <w:rFonts w:ascii="Arial" w:hAnsi="Arial" w:cs="Arial"/>
          <w:b/>
          <w:i/>
          <w:sz w:val="22"/>
          <w:u w:val="single"/>
        </w:rPr>
      </w:pPr>
      <w:r w:rsidRPr="00117962">
        <w:rPr>
          <w:rFonts w:ascii="Arial" w:hAnsi="Arial" w:cs="Arial"/>
          <w:b/>
          <w:i/>
          <w:sz w:val="22"/>
          <w:u w:val="single"/>
        </w:rPr>
        <w:t>Suma de los factores</w:t>
      </w:r>
    </w:p>
    <w:p w:rsidR="00117962" w:rsidRPr="00117962" w:rsidRDefault="00117962" w:rsidP="00117962">
      <w:pPr>
        <w:ind w:left="1058"/>
        <w:contextualSpacing/>
        <w:rPr>
          <w:rFonts w:ascii="Arial" w:hAnsi="Arial" w:cs="Arial"/>
          <w:b/>
          <w:i/>
          <w:color w:val="17365D"/>
          <w:sz w:val="22"/>
          <w:u w:val="single"/>
        </w:rPr>
      </w:pPr>
    </w:p>
    <w:p w:rsidR="00117962" w:rsidRPr="00117962" w:rsidRDefault="00117962" w:rsidP="00117962">
      <w:pPr>
        <w:ind w:left="851"/>
        <w:rPr>
          <w:rFonts w:ascii="Arial" w:hAnsi="Arial" w:cs="Arial"/>
          <w:i/>
          <w:sz w:val="22"/>
        </w:rPr>
      </w:pPr>
      <w:r w:rsidRPr="00117962">
        <w:rPr>
          <w:rFonts w:ascii="Arial" w:hAnsi="Arial" w:cs="Arial"/>
          <w:i/>
          <w:sz w:val="22"/>
        </w:rPr>
        <w:t>El porcentaje general obtenido por la empresa oferente elegible se detalla a continuación:</w:t>
      </w:r>
    </w:p>
    <w:p w:rsidR="00117962" w:rsidRPr="00117962" w:rsidRDefault="00117962" w:rsidP="00117962">
      <w:pPr>
        <w:ind w:left="851"/>
        <w:rPr>
          <w:rFonts w:ascii="Arial" w:hAnsi="Arial" w:cs="Arial"/>
          <w:i/>
          <w:sz w:val="22"/>
        </w:rPr>
      </w:pPr>
    </w:p>
    <w:tbl>
      <w:tblPr>
        <w:tblStyle w:val="Tabladecuadrcula1clara-nfasis3"/>
        <w:tblW w:w="5953" w:type="dxa"/>
        <w:tblInd w:w="2122" w:type="dxa"/>
        <w:tblLook w:val="04A0" w:firstRow="1" w:lastRow="0" w:firstColumn="1" w:lastColumn="0" w:noHBand="0" w:noVBand="1"/>
      </w:tblPr>
      <w:tblGrid>
        <w:gridCol w:w="1842"/>
        <w:gridCol w:w="1518"/>
        <w:gridCol w:w="2593"/>
      </w:tblGrid>
      <w:tr w:rsidR="00117962" w:rsidRPr="00117962" w:rsidTr="00C074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117962" w:rsidRPr="00117962" w:rsidRDefault="00117962" w:rsidP="00117962">
            <w:pPr>
              <w:jc w:val="center"/>
              <w:rPr>
                <w:i/>
                <w:sz w:val="20"/>
                <w:szCs w:val="20"/>
              </w:rPr>
            </w:pPr>
            <w:r w:rsidRPr="00117962">
              <w:rPr>
                <w:i/>
                <w:sz w:val="20"/>
                <w:szCs w:val="20"/>
              </w:rPr>
              <w:t>Factor de evaluación</w:t>
            </w:r>
          </w:p>
        </w:tc>
        <w:tc>
          <w:tcPr>
            <w:tcW w:w="1518" w:type="dxa"/>
            <w:vAlign w:val="center"/>
          </w:tcPr>
          <w:p w:rsidR="00117962" w:rsidRPr="00117962" w:rsidRDefault="00117962" w:rsidP="00117962">
            <w:pPr>
              <w:jc w:val="center"/>
              <w:cnfStyle w:val="100000000000" w:firstRow="1" w:lastRow="0" w:firstColumn="0" w:lastColumn="0" w:oddVBand="0" w:evenVBand="0" w:oddHBand="0" w:evenHBand="0" w:firstRowFirstColumn="0" w:firstRowLastColumn="0" w:lastRowFirstColumn="0" w:lastRowLastColumn="0"/>
              <w:rPr>
                <w:i/>
                <w:sz w:val="20"/>
                <w:szCs w:val="20"/>
              </w:rPr>
            </w:pPr>
            <w:r w:rsidRPr="00117962">
              <w:rPr>
                <w:i/>
                <w:sz w:val="20"/>
                <w:szCs w:val="20"/>
              </w:rPr>
              <w:t>Porcentaje</w:t>
            </w:r>
          </w:p>
        </w:tc>
        <w:tc>
          <w:tcPr>
            <w:tcW w:w="2593" w:type="dxa"/>
          </w:tcPr>
          <w:p w:rsidR="00117962" w:rsidRPr="00117962" w:rsidRDefault="00117962" w:rsidP="00117962">
            <w:pPr>
              <w:jc w:val="center"/>
              <w:cnfStyle w:val="100000000000" w:firstRow="1" w:lastRow="0" w:firstColumn="0" w:lastColumn="0" w:oddVBand="0" w:evenVBand="0" w:oddHBand="0" w:evenHBand="0" w:firstRowFirstColumn="0" w:firstRowLastColumn="0" w:lastRowFirstColumn="0" w:lastRowLastColumn="0"/>
              <w:rPr>
                <w:i/>
                <w:sz w:val="20"/>
                <w:szCs w:val="20"/>
              </w:rPr>
            </w:pPr>
            <w:r w:rsidRPr="00117962">
              <w:rPr>
                <w:i/>
                <w:sz w:val="20"/>
                <w:szCs w:val="20"/>
              </w:rPr>
              <w:t>Compañía de Servicios Técnicos R&amp;S S.A.</w:t>
            </w:r>
          </w:p>
        </w:tc>
      </w:tr>
      <w:tr w:rsidR="00117962" w:rsidRPr="00117962" w:rsidTr="00C0749A">
        <w:tc>
          <w:tcPr>
            <w:cnfStyle w:val="001000000000" w:firstRow="0" w:lastRow="0" w:firstColumn="1" w:lastColumn="0" w:oddVBand="0" w:evenVBand="0" w:oddHBand="0" w:evenHBand="0" w:firstRowFirstColumn="0" w:firstRowLastColumn="0" w:lastRowFirstColumn="0" w:lastRowLastColumn="0"/>
            <w:tcW w:w="1842" w:type="dxa"/>
          </w:tcPr>
          <w:p w:rsidR="00117962" w:rsidRPr="00117962" w:rsidRDefault="00117962" w:rsidP="00117962">
            <w:pPr>
              <w:jc w:val="both"/>
              <w:rPr>
                <w:i/>
                <w:color w:val="000000"/>
                <w:sz w:val="20"/>
                <w:szCs w:val="20"/>
                <w:lang w:eastAsia="es-CR"/>
              </w:rPr>
            </w:pPr>
            <w:r w:rsidRPr="00117962">
              <w:rPr>
                <w:i/>
                <w:color w:val="000000"/>
                <w:sz w:val="20"/>
                <w:szCs w:val="20"/>
                <w:lang w:eastAsia="es-CR"/>
              </w:rPr>
              <w:t>Precio</w:t>
            </w:r>
          </w:p>
        </w:tc>
        <w:tc>
          <w:tcPr>
            <w:tcW w:w="1518" w:type="dxa"/>
          </w:tcPr>
          <w:p w:rsidR="00117962" w:rsidRPr="00117962" w:rsidRDefault="00117962" w:rsidP="00117962">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117962">
              <w:rPr>
                <w:i/>
                <w:sz w:val="20"/>
                <w:szCs w:val="20"/>
              </w:rPr>
              <w:t>85%</w:t>
            </w:r>
          </w:p>
        </w:tc>
        <w:tc>
          <w:tcPr>
            <w:tcW w:w="2593" w:type="dxa"/>
          </w:tcPr>
          <w:p w:rsidR="00117962" w:rsidRPr="00117962" w:rsidRDefault="00117962" w:rsidP="00117962">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117962">
              <w:rPr>
                <w:i/>
                <w:sz w:val="20"/>
                <w:szCs w:val="20"/>
              </w:rPr>
              <w:t>85%</w:t>
            </w:r>
          </w:p>
        </w:tc>
      </w:tr>
      <w:tr w:rsidR="00117962" w:rsidRPr="00117962" w:rsidTr="00C0749A">
        <w:tc>
          <w:tcPr>
            <w:cnfStyle w:val="001000000000" w:firstRow="0" w:lastRow="0" w:firstColumn="1" w:lastColumn="0" w:oddVBand="0" w:evenVBand="0" w:oddHBand="0" w:evenHBand="0" w:firstRowFirstColumn="0" w:firstRowLastColumn="0" w:lastRowFirstColumn="0" w:lastRowLastColumn="0"/>
            <w:tcW w:w="1842" w:type="dxa"/>
          </w:tcPr>
          <w:p w:rsidR="00117962" w:rsidRPr="00117962" w:rsidRDefault="00117962" w:rsidP="00117962">
            <w:pPr>
              <w:jc w:val="both"/>
              <w:rPr>
                <w:i/>
                <w:color w:val="000000"/>
                <w:sz w:val="20"/>
                <w:szCs w:val="20"/>
                <w:lang w:eastAsia="es-CR"/>
              </w:rPr>
            </w:pPr>
            <w:r w:rsidRPr="00117962">
              <w:rPr>
                <w:i/>
                <w:color w:val="000000"/>
                <w:sz w:val="20"/>
                <w:szCs w:val="20"/>
                <w:lang w:eastAsia="es-CR"/>
              </w:rPr>
              <w:t>Experiencia</w:t>
            </w:r>
          </w:p>
        </w:tc>
        <w:tc>
          <w:tcPr>
            <w:tcW w:w="1518" w:type="dxa"/>
          </w:tcPr>
          <w:p w:rsidR="00117962" w:rsidRPr="00117962" w:rsidRDefault="00117962" w:rsidP="00117962">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117962">
              <w:rPr>
                <w:i/>
                <w:sz w:val="20"/>
                <w:szCs w:val="20"/>
              </w:rPr>
              <w:t>15%</w:t>
            </w:r>
          </w:p>
        </w:tc>
        <w:tc>
          <w:tcPr>
            <w:tcW w:w="2593" w:type="dxa"/>
          </w:tcPr>
          <w:p w:rsidR="00117962" w:rsidRPr="00117962" w:rsidRDefault="00117962" w:rsidP="00117962">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117962">
              <w:rPr>
                <w:i/>
                <w:sz w:val="20"/>
                <w:szCs w:val="20"/>
              </w:rPr>
              <w:t>15%</w:t>
            </w:r>
          </w:p>
        </w:tc>
      </w:tr>
      <w:tr w:rsidR="00117962" w:rsidRPr="00117962" w:rsidTr="00C0749A">
        <w:tc>
          <w:tcPr>
            <w:cnfStyle w:val="001000000000" w:firstRow="0" w:lastRow="0" w:firstColumn="1" w:lastColumn="0" w:oddVBand="0" w:evenVBand="0" w:oddHBand="0" w:evenHBand="0" w:firstRowFirstColumn="0" w:firstRowLastColumn="0" w:lastRowFirstColumn="0" w:lastRowLastColumn="0"/>
            <w:tcW w:w="1842" w:type="dxa"/>
          </w:tcPr>
          <w:p w:rsidR="00117962" w:rsidRPr="00117962" w:rsidRDefault="00117962" w:rsidP="00117962">
            <w:pPr>
              <w:rPr>
                <w:i/>
                <w:sz w:val="20"/>
                <w:szCs w:val="20"/>
              </w:rPr>
            </w:pPr>
            <w:r w:rsidRPr="00117962">
              <w:rPr>
                <w:i/>
                <w:sz w:val="20"/>
                <w:szCs w:val="20"/>
              </w:rPr>
              <w:t>Porcentaje total</w:t>
            </w:r>
          </w:p>
        </w:tc>
        <w:tc>
          <w:tcPr>
            <w:tcW w:w="1518" w:type="dxa"/>
          </w:tcPr>
          <w:p w:rsidR="00117962" w:rsidRPr="00117962" w:rsidRDefault="00117962" w:rsidP="00117962">
            <w:pPr>
              <w:jc w:val="center"/>
              <w:cnfStyle w:val="000000000000" w:firstRow="0" w:lastRow="0" w:firstColumn="0" w:lastColumn="0" w:oddVBand="0" w:evenVBand="0" w:oddHBand="0" w:evenHBand="0" w:firstRowFirstColumn="0" w:firstRowLastColumn="0" w:lastRowFirstColumn="0" w:lastRowLastColumn="0"/>
              <w:rPr>
                <w:b/>
                <w:i/>
                <w:sz w:val="20"/>
                <w:szCs w:val="20"/>
              </w:rPr>
            </w:pPr>
            <w:r w:rsidRPr="00117962">
              <w:rPr>
                <w:b/>
                <w:i/>
                <w:sz w:val="20"/>
                <w:szCs w:val="20"/>
              </w:rPr>
              <w:t>100%</w:t>
            </w:r>
          </w:p>
        </w:tc>
        <w:tc>
          <w:tcPr>
            <w:tcW w:w="2593" w:type="dxa"/>
          </w:tcPr>
          <w:p w:rsidR="00117962" w:rsidRPr="00117962" w:rsidRDefault="00117962" w:rsidP="00117962">
            <w:pPr>
              <w:jc w:val="center"/>
              <w:cnfStyle w:val="000000000000" w:firstRow="0" w:lastRow="0" w:firstColumn="0" w:lastColumn="0" w:oddVBand="0" w:evenVBand="0" w:oddHBand="0" w:evenHBand="0" w:firstRowFirstColumn="0" w:firstRowLastColumn="0" w:lastRowFirstColumn="0" w:lastRowLastColumn="0"/>
              <w:rPr>
                <w:b/>
                <w:i/>
                <w:sz w:val="20"/>
                <w:szCs w:val="20"/>
              </w:rPr>
            </w:pPr>
            <w:r w:rsidRPr="00117962">
              <w:rPr>
                <w:b/>
                <w:i/>
                <w:sz w:val="20"/>
                <w:szCs w:val="20"/>
              </w:rPr>
              <w:t>100%</w:t>
            </w:r>
          </w:p>
        </w:tc>
      </w:tr>
    </w:tbl>
    <w:p w:rsidR="00117962" w:rsidRPr="00117962" w:rsidRDefault="00117962" w:rsidP="00117962">
      <w:pPr>
        <w:ind w:left="425"/>
        <w:jc w:val="both"/>
        <w:rPr>
          <w:rFonts w:ascii="Arial" w:hAnsi="Arial" w:cs="Arial"/>
          <w:iCs/>
          <w:sz w:val="22"/>
        </w:rPr>
      </w:pPr>
      <w:bookmarkStart w:id="6" w:name="_Toc530656702"/>
      <w:bookmarkStart w:id="7" w:name="_Toc530657660"/>
    </w:p>
    <w:p w:rsidR="00117962" w:rsidRPr="00117962" w:rsidRDefault="00117962" w:rsidP="00117962">
      <w:pPr>
        <w:ind w:left="851"/>
        <w:jc w:val="both"/>
        <w:rPr>
          <w:rFonts w:ascii="Arial" w:hAnsi="Arial" w:cs="Arial"/>
          <w:i/>
          <w:sz w:val="22"/>
        </w:rPr>
      </w:pPr>
      <w:r w:rsidRPr="00117962">
        <w:rPr>
          <w:rFonts w:ascii="Arial" w:hAnsi="Arial" w:cs="Arial"/>
          <w:i/>
          <w:sz w:val="22"/>
        </w:rPr>
        <w:t>La oferta de la empresa Compañía de Servicios Técnicos R&amp;S S.A. obtiene un 100% al ponderar los factores</w:t>
      </w:r>
      <w:bookmarkEnd w:id="6"/>
      <w:bookmarkEnd w:id="7"/>
      <w:r w:rsidRPr="00117962">
        <w:rPr>
          <w:rFonts w:ascii="Arial" w:hAnsi="Arial" w:cs="Arial"/>
          <w:i/>
          <w:sz w:val="22"/>
        </w:rPr>
        <w:t>.</w:t>
      </w:r>
    </w:p>
    <w:p w:rsidR="00117962" w:rsidRDefault="00117962" w:rsidP="00117962">
      <w:pPr>
        <w:ind w:left="851"/>
        <w:jc w:val="both"/>
        <w:rPr>
          <w:rFonts w:ascii="Arial" w:hAnsi="Arial" w:cs="Arial"/>
          <w:i/>
          <w:sz w:val="22"/>
        </w:rPr>
      </w:pPr>
      <w:r w:rsidRPr="00117962">
        <w:rPr>
          <w:rFonts w:ascii="Arial" w:hAnsi="Arial" w:cs="Arial"/>
          <w:i/>
          <w:sz w:val="22"/>
        </w:rPr>
        <w:t xml:space="preserve">Dado que la oferta de la empresa Compañía de Servicios Técnicos R&amp;S S.A. cumple legal y técnicamente con lo solicitado en el pliego de condiciones, y además fue la única presentada, se recomienda adjudicar. </w:t>
      </w:r>
    </w:p>
    <w:p w:rsidR="003F2318" w:rsidRPr="00117962" w:rsidRDefault="003F2318" w:rsidP="00117962">
      <w:pPr>
        <w:ind w:left="851"/>
        <w:jc w:val="both"/>
        <w:rPr>
          <w:rFonts w:ascii="Arial" w:hAnsi="Arial" w:cs="Arial"/>
          <w:i/>
          <w:sz w:val="22"/>
        </w:rPr>
      </w:pPr>
    </w:p>
    <w:p w:rsidR="00117962" w:rsidRPr="00117962" w:rsidRDefault="00117962" w:rsidP="00117962">
      <w:pPr>
        <w:keepNext/>
        <w:numPr>
          <w:ilvl w:val="0"/>
          <w:numId w:val="29"/>
        </w:numPr>
        <w:spacing w:before="120" w:after="120"/>
        <w:ind w:left="1276" w:hanging="357"/>
        <w:jc w:val="both"/>
        <w:outlineLvl w:val="0"/>
        <w:rPr>
          <w:rFonts w:ascii="Arial" w:hAnsi="Arial" w:cs="Arial"/>
          <w:b/>
          <w:bCs/>
          <w:i/>
          <w:kern w:val="32"/>
          <w:sz w:val="22"/>
          <w:szCs w:val="22"/>
        </w:rPr>
      </w:pPr>
      <w:bookmarkStart w:id="8" w:name="_Toc22137299"/>
      <w:r w:rsidRPr="00117962">
        <w:rPr>
          <w:rFonts w:ascii="Arial" w:hAnsi="Arial" w:cs="Arial"/>
          <w:b/>
          <w:bCs/>
          <w:i/>
          <w:kern w:val="32"/>
          <w:sz w:val="22"/>
          <w:szCs w:val="22"/>
        </w:rPr>
        <w:t>Recomendación de Adjudicación</w:t>
      </w:r>
      <w:bookmarkEnd w:id="8"/>
    </w:p>
    <w:p w:rsidR="00117962" w:rsidRPr="00117962" w:rsidRDefault="00117962" w:rsidP="00117962">
      <w:pPr>
        <w:ind w:left="851"/>
        <w:jc w:val="both"/>
        <w:rPr>
          <w:rFonts w:ascii="Arial" w:hAnsi="Arial" w:cs="Arial"/>
          <w:i/>
          <w:sz w:val="22"/>
        </w:rPr>
      </w:pPr>
      <w:r w:rsidRPr="00117962">
        <w:rPr>
          <w:rFonts w:ascii="Arial" w:hAnsi="Arial" w:cs="Arial"/>
          <w:i/>
          <w:sz w:val="22"/>
        </w:rPr>
        <w:t>En atención a la recomendación técnica y legal, y dado que la oferta se ajusta a lo solicitado en el pliego de condiciones, se recomienda adjudicar a:</w:t>
      </w:r>
    </w:p>
    <w:p w:rsidR="00117962" w:rsidRPr="00117962" w:rsidRDefault="00117962" w:rsidP="00117962">
      <w:pPr>
        <w:ind w:left="425"/>
        <w:jc w:val="both"/>
        <w:rPr>
          <w:rFonts w:ascii="Arial" w:hAnsi="Arial" w:cs="Arial"/>
          <w:sz w:val="22"/>
        </w:rPr>
      </w:pPr>
    </w:p>
    <w:p w:rsidR="00117962" w:rsidRPr="00117962" w:rsidRDefault="00117962" w:rsidP="00117962">
      <w:pPr>
        <w:ind w:left="851"/>
        <w:jc w:val="both"/>
        <w:rPr>
          <w:rFonts w:ascii="Arial" w:hAnsi="Arial" w:cs="Arial"/>
          <w:b/>
          <w:i/>
          <w:sz w:val="22"/>
        </w:rPr>
      </w:pPr>
      <w:r w:rsidRPr="00117962">
        <w:rPr>
          <w:rFonts w:ascii="Arial" w:hAnsi="Arial" w:cs="Arial"/>
          <w:b/>
          <w:i/>
          <w:sz w:val="22"/>
        </w:rPr>
        <w:t>Compañía de Servicios Técnicos R&amp;S S.A.</w:t>
      </w:r>
      <w:r w:rsidRPr="00117962">
        <w:rPr>
          <w:rFonts w:ascii="Arial" w:hAnsi="Arial" w:cs="Arial"/>
          <w:i/>
          <w:sz w:val="22"/>
          <w:szCs w:val="22"/>
        </w:rPr>
        <w:t xml:space="preserve"> </w:t>
      </w:r>
      <w:r w:rsidRPr="00117962">
        <w:rPr>
          <w:rFonts w:ascii="Arial" w:hAnsi="Arial" w:cs="Arial"/>
          <w:b/>
          <w:i/>
          <w:sz w:val="22"/>
        </w:rPr>
        <w:t>Cédula Jurídica 3-101- 059070</w:t>
      </w:r>
    </w:p>
    <w:tbl>
      <w:tblPr>
        <w:tblW w:w="4358" w:type="pct"/>
        <w:tblCellSpacing w:w="20" w:type="dxa"/>
        <w:tblInd w:w="98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829"/>
        <w:gridCol w:w="4062"/>
      </w:tblGrid>
      <w:tr w:rsidR="00117962" w:rsidRPr="00117962" w:rsidTr="00C0749A">
        <w:trPr>
          <w:trHeight w:val="255"/>
          <w:tblCellSpacing w:w="20" w:type="dxa"/>
        </w:trPr>
        <w:tc>
          <w:tcPr>
            <w:tcW w:w="2388" w:type="pct"/>
            <w:tcBorders>
              <w:top w:val="outset" w:sz="6" w:space="0" w:color="auto"/>
              <w:left w:val="outset" w:sz="6" w:space="0" w:color="auto"/>
              <w:bottom w:val="outset" w:sz="6" w:space="0" w:color="auto"/>
              <w:right w:val="outset" w:sz="6" w:space="0" w:color="auto"/>
            </w:tcBorders>
            <w:vAlign w:val="center"/>
            <w:hideMark/>
          </w:tcPr>
          <w:p w:rsidR="00117962" w:rsidRPr="00117962" w:rsidRDefault="00117962" w:rsidP="00117962">
            <w:pPr>
              <w:ind w:left="426"/>
              <w:jc w:val="both"/>
              <w:rPr>
                <w:rFonts w:ascii="Arial" w:hAnsi="Arial" w:cs="Arial"/>
                <w:i/>
                <w:color w:val="000000"/>
                <w:sz w:val="20"/>
                <w:szCs w:val="20"/>
              </w:rPr>
            </w:pPr>
            <w:r w:rsidRPr="00117962">
              <w:rPr>
                <w:rFonts w:ascii="Arial" w:hAnsi="Arial" w:cs="Arial"/>
                <w:i/>
                <w:color w:val="000000"/>
                <w:sz w:val="20"/>
                <w:szCs w:val="20"/>
              </w:rPr>
              <w:t>Precio Mensual del servicio</w:t>
            </w:r>
          </w:p>
        </w:tc>
        <w:tc>
          <w:tcPr>
            <w:tcW w:w="2536" w:type="pct"/>
            <w:tcBorders>
              <w:top w:val="outset" w:sz="6" w:space="0" w:color="auto"/>
              <w:left w:val="outset" w:sz="6" w:space="0" w:color="auto"/>
              <w:bottom w:val="outset" w:sz="6" w:space="0" w:color="auto"/>
              <w:right w:val="outset" w:sz="6" w:space="0" w:color="auto"/>
            </w:tcBorders>
            <w:hideMark/>
          </w:tcPr>
          <w:p w:rsidR="00117962" w:rsidRPr="00117962" w:rsidRDefault="00117962" w:rsidP="00117962">
            <w:pPr>
              <w:ind w:left="426"/>
              <w:jc w:val="center"/>
              <w:rPr>
                <w:rFonts w:ascii="Arial" w:hAnsi="Arial" w:cs="Arial"/>
                <w:i/>
                <w:sz w:val="20"/>
                <w:szCs w:val="20"/>
              </w:rPr>
            </w:pPr>
            <w:r w:rsidRPr="00117962">
              <w:rPr>
                <w:rFonts w:ascii="Arial" w:hAnsi="Arial" w:cs="Arial"/>
                <w:i/>
                <w:sz w:val="20"/>
                <w:szCs w:val="20"/>
              </w:rPr>
              <w:t>¢12,148,748.34</w:t>
            </w:r>
          </w:p>
        </w:tc>
      </w:tr>
      <w:tr w:rsidR="00117962" w:rsidRPr="00117962" w:rsidTr="00C0749A">
        <w:trPr>
          <w:trHeight w:val="255"/>
          <w:tblCellSpacing w:w="20" w:type="dxa"/>
        </w:trPr>
        <w:tc>
          <w:tcPr>
            <w:tcW w:w="2388" w:type="pct"/>
            <w:tcBorders>
              <w:top w:val="outset" w:sz="6" w:space="0" w:color="auto"/>
              <w:left w:val="outset" w:sz="6" w:space="0" w:color="auto"/>
              <w:bottom w:val="outset" w:sz="6" w:space="0" w:color="auto"/>
              <w:right w:val="outset" w:sz="6" w:space="0" w:color="auto"/>
            </w:tcBorders>
            <w:vAlign w:val="center"/>
          </w:tcPr>
          <w:p w:rsidR="00117962" w:rsidRPr="00117962" w:rsidRDefault="00117962" w:rsidP="00117962">
            <w:pPr>
              <w:ind w:left="426"/>
              <w:jc w:val="both"/>
              <w:rPr>
                <w:rFonts w:ascii="Arial" w:hAnsi="Arial" w:cs="Arial"/>
                <w:i/>
                <w:color w:val="000000"/>
                <w:sz w:val="20"/>
                <w:szCs w:val="20"/>
              </w:rPr>
            </w:pPr>
            <w:r w:rsidRPr="00117962">
              <w:rPr>
                <w:rFonts w:ascii="Arial" w:hAnsi="Arial" w:cs="Arial"/>
                <w:i/>
                <w:color w:val="000000"/>
                <w:sz w:val="20"/>
                <w:szCs w:val="20"/>
              </w:rPr>
              <w:t>Monto Total de la oferta</w:t>
            </w:r>
          </w:p>
        </w:tc>
        <w:tc>
          <w:tcPr>
            <w:tcW w:w="2536" w:type="pct"/>
            <w:tcBorders>
              <w:top w:val="outset" w:sz="6" w:space="0" w:color="auto"/>
              <w:left w:val="outset" w:sz="6" w:space="0" w:color="auto"/>
              <w:bottom w:val="outset" w:sz="6" w:space="0" w:color="auto"/>
              <w:right w:val="outset" w:sz="6" w:space="0" w:color="auto"/>
            </w:tcBorders>
          </w:tcPr>
          <w:p w:rsidR="00117962" w:rsidRPr="00117962" w:rsidRDefault="00117962" w:rsidP="00117962">
            <w:pPr>
              <w:ind w:left="426"/>
              <w:jc w:val="center"/>
              <w:rPr>
                <w:rFonts w:ascii="Arial" w:hAnsi="Arial" w:cs="Arial"/>
                <w:i/>
                <w:sz w:val="20"/>
                <w:szCs w:val="20"/>
              </w:rPr>
            </w:pPr>
            <w:r w:rsidRPr="00117962">
              <w:rPr>
                <w:rFonts w:ascii="Arial" w:hAnsi="Arial" w:cs="Arial"/>
                <w:i/>
                <w:sz w:val="20"/>
                <w:szCs w:val="20"/>
              </w:rPr>
              <w:t>¢145,784,980.08</w:t>
            </w:r>
          </w:p>
        </w:tc>
      </w:tr>
      <w:tr w:rsidR="00117962" w:rsidRPr="00117962" w:rsidTr="00C0749A">
        <w:trPr>
          <w:trHeight w:val="255"/>
          <w:tblCellSpacing w:w="20" w:type="dxa"/>
        </w:trPr>
        <w:tc>
          <w:tcPr>
            <w:tcW w:w="2388" w:type="pct"/>
            <w:tcBorders>
              <w:top w:val="outset" w:sz="6" w:space="0" w:color="auto"/>
              <w:left w:val="outset" w:sz="6" w:space="0" w:color="auto"/>
              <w:bottom w:val="outset" w:sz="6" w:space="0" w:color="auto"/>
              <w:right w:val="outset" w:sz="6" w:space="0" w:color="auto"/>
            </w:tcBorders>
            <w:vAlign w:val="center"/>
            <w:hideMark/>
          </w:tcPr>
          <w:p w:rsidR="00117962" w:rsidRPr="00117962" w:rsidRDefault="00117962" w:rsidP="00117962">
            <w:pPr>
              <w:ind w:left="426"/>
              <w:jc w:val="both"/>
              <w:rPr>
                <w:rFonts w:ascii="Arial" w:hAnsi="Arial" w:cs="Arial"/>
                <w:i/>
                <w:color w:val="000000"/>
                <w:sz w:val="20"/>
                <w:szCs w:val="20"/>
              </w:rPr>
            </w:pPr>
            <w:r w:rsidRPr="00117962">
              <w:rPr>
                <w:rFonts w:ascii="Arial" w:hAnsi="Arial" w:cs="Arial"/>
                <w:i/>
                <w:color w:val="000000"/>
                <w:sz w:val="20"/>
                <w:szCs w:val="20"/>
              </w:rPr>
              <w:t xml:space="preserve">Fecha de inicio </w:t>
            </w:r>
          </w:p>
        </w:tc>
        <w:tc>
          <w:tcPr>
            <w:tcW w:w="2536" w:type="pct"/>
            <w:tcBorders>
              <w:top w:val="outset" w:sz="6" w:space="0" w:color="auto"/>
              <w:left w:val="outset" w:sz="6" w:space="0" w:color="auto"/>
              <w:bottom w:val="outset" w:sz="6" w:space="0" w:color="auto"/>
              <w:right w:val="outset" w:sz="6" w:space="0" w:color="auto"/>
            </w:tcBorders>
            <w:hideMark/>
          </w:tcPr>
          <w:p w:rsidR="00117962" w:rsidRPr="00117962" w:rsidRDefault="00117962" w:rsidP="00117962">
            <w:pPr>
              <w:ind w:left="426"/>
              <w:jc w:val="center"/>
              <w:rPr>
                <w:rFonts w:ascii="Arial" w:hAnsi="Arial" w:cs="Arial"/>
                <w:i/>
                <w:sz w:val="20"/>
                <w:szCs w:val="20"/>
              </w:rPr>
            </w:pPr>
            <w:r w:rsidRPr="00117962">
              <w:rPr>
                <w:rFonts w:ascii="Arial" w:hAnsi="Arial" w:cs="Arial"/>
                <w:i/>
                <w:sz w:val="20"/>
                <w:szCs w:val="20"/>
              </w:rPr>
              <w:t>16 de diciembre del 2019</w:t>
            </w:r>
          </w:p>
        </w:tc>
      </w:tr>
      <w:tr w:rsidR="00117962" w:rsidRPr="00117962" w:rsidTr="00C0749A">
        <w:trPr>
          <w:trHeight w:val="255"/>
          <w:tblCellSpacing w:w="20" w:type="dxa"/>
        </w:trPr>
        <w:tc>
          <w:tcPr>
            <w:tcW w:w="2388" w:type="pct"/>
            <w:tcBorders>
              <w:top w:val="outset" w:sz="6" w:space="0" w:color="auto"/>
              <w:left w:val="outset" w:sz="6" w:space="0" w:color="auto"/>
              <w:bottom w:val="outset" w:sz="6" w:space="0" w:color="auto"/>
              <w:right w:val="outset" w:sz="6" w:space="0" w:color="auto"/>
            </w:tcBorders>
            <w:vAlign w:val="center"/>
            <w:hideMark/>
          </w:tcPr>
          <w:p w:rsidR="00117962" w:rsidRPr="00117962" w:rsidRDefault="00117962" w:rsidP="00117962">
            <w:pPr>
              <w:ind w:left="426"/>
              <w:jc w:val="both"/>
              <w:rPr>
                <w:rFonts w:ascii="Arial" w:hAnsi="Arial" w:cs="Arial"/>
                <w:i/>
                <w:color w:val="000000"/>
                <w:sz w:val="20"/>
                <w:szCs w:val="20"/>
              </w:rPr>
            </w:pPr>
            <w:r w:rsidRPr="00117962">
              <w:rPr>
                <w:rFonts w:ascii="Arial" w:hAnsi="Arial" w:cs="Arial"/>
                <w:i/>
                <w:color w:val="000000"/>
                <w:sz w:val="20"/>
                <w:szCs w:val="20"/>
              </w:rPr>
              <w:t>Vigencia del contrato</w:t>
            </w:r>
          </w:p>
        </w:tc>
        <w:tc>
          <w:tcPr>
            <w:tcW w:w="2536" w:type="pct"/>
            <w:tcBorders>
              <w:top w:val="outset" w:sz="6" w:space="0" w:color="auto"/>
              <w:left w:val="outset" w:sz="6" w:space="0" w:color="auto"/>
              <w:bottom w:val="outset" w:sz="6" w:space="0" w:color="auto"/>
              <w:right w:val="outset" w:sz="6" w:space="0" w:color="auto"/>
            </w:tcBorders>
            <w:hideMark/>
          </w:tcPr>
          <w:p w:rsidR="00117962" w:rsidRPr="00117962" w:rsidRDefault="00117962" w:rsidP="00117962">
            <w:pPr>
              <w:ind w:left="426"/>
              <w:jc w:val="center"/>
              <w:rPr>
                <w:rFonts w:ascii="Arial" w:hAnsi="Arial" w:cs="Arial"/>
                <w:i/>
                <w:sz w:val="20"/>
                <w:szCs w:val="20"/>
              </w:rPr>
            </w:pPr>
            <w:r w:rsidRPr="00117962">
              <w:rPr>
                <w:rFonts w:ascii="Arial" w:hAnsi="Arial" w:cs="Arial"/>
                <w:i/>
                <w:sz w:val="20"/>
                <w:szCs w:val="20"/>
              </w:rPr>
              <w:t>1 año prorrogable hasta 4 años</w:t>
            </w:r>
          </w:p>
        </w:tc>
      </w:tr>
    </w:tbl>
    <w:p w:rsidR="003F2318" w:rsidRDefault="003F2318" w:rsidP="003F2318">
      <w:pPr>
        <w:keepNext/>
        <w:spacing w:before="120" w:after="120"/>
        <w:jc w:val="both"/>
        <w:outlineLvl w:val="0"/>
        <w:rPr>
          <w:rFonts w:ascii="Arial" w:hAnsi="Arial" w:cs="Arial"/>
          <w:b/>
          <w:bCs/>
          <w:i/>
          <w:kern w:val="32"/>
          <w:sz w:val="22"/>
          <w:szCs w:val="22"/>
        </w:rPr>
      </w:pPr>
      <w:bookmarkStart w:id="9" w:name="_Toc22137300"/>
    </w:p>
    <w:p w:rsidR="003F2318" w:rsidRDefault="003F2318" w:rsidP="003F2318">
      <w:pPr>
        <w:keepNext/>
        <w:spacing w:before="120" w:after="120"/>
        <w:jc w:val="both"/>
        <w:outlineLvl w:val="0"/>
        <w:rPr>
          <w:rFonts w:ascii="Arial" w:hAnsi="Arial" w:cs="Arial"/>
          <w:b/>
          <w:bCs/>
          <w:i/>
          <w:kern w:val="32"/>
          <w:sz w:val="22"/>
          <w:szCs w:val="22"/>
        </w:rPr>
      </w:pPr>
    </w:p>
    <w:p w:rsidR="00117962" w:rsidRPr="00117962" w:rsidRDefault="00117962" w:rsidP="00117962">
      <w:pPr>
        <w:keepNext/>
        <w:numPr>
          <w:ilvl w:val="0"/>
          <w:numId w:val="29"/>
        </w:numPr>
        <w:spacing w:before="120" w:after="120"/>
        <w:ind w:left="1276" w:hanging="357"/>
        <w:jc w:val="both"/>
        <w:outlineLvl w:val="0"/>
        <w:rPr>
          <w:rFonts w:ascii="Arial" w:hAnsi="Arial" w:cs="Arial"/>
          <w:b/>
          <w:bCs/>
          <w:i/>
          <w:kern w:val="32"/>
          <w:sz w:val="22"/>
          <w:szCs w:val="22"/>
        </w:rPr>
      </w:pPr>
      <w:r w:rsidRPr="00117962">
        <w:rPr>
          <w:rFonts w:ascii="Arial" w:hAnsi="Arial" w:cs="Arial"/>
          <w:b/>
          <w:bCs/>
          <w:i/>
          <w:kern w:val="32"/>
          <w:sz w:val="22"/>
          <w:szCs w:val="22"/>
        </w:rPr>
        <w:t>Razones de la recomendación</w:t>
      </w:r>
      <w:bookmarkEnd w:id="9"/>
    </w:p>
    <w:p w:rsidR="00117962" w:rsidRPr="00117962" w:rsidRDefault="00117962" w:rsidP="00117962">
      <w:pPr>
        <w:numPr>
          <w:ilvl w:val="0"/>
          <w:numId w:val="21"/>
        </w:numPr>
        <w:tabs>
          <w:tab w:val="num" w:pos="-2215"/>
        </w:tabs>
        <w:spacing w:line="276" w:lineRule="auto"/>
        <w:ind w:left="1865"/>
        <w:jc w:val="both"/>
        <w:rPr>
          <w:rFonts w:ascii="Arial" w:hAnsi="Arial" w:cs="Arial"/>
          <w:i/>
          <w:sz w:val="22"/>
          <w:szCs w:val="22"/>
        </w:rPr>
      </w:pPr>
      <w:r w:rsidRPr="00117962">
        <w:rPr>
          <w:rFonts w:ascii="Arial" w:hAnsi="Arial" w:cs="Arial"/>
          <w:i/>
          <w:sz w:val="22"/>
          <w:szCs w:val="22"/>
        </w:rPr>
        <w:t xml:space="preserve">Se toma en consideración recomendación técnica. </w:t>
      </w:r>
    </w:p>
    <w:p w:rsidR="00117962" w:rsidRPr="00117962" w:rsidRDefault="00117962" w:rsidP="00117962">
      <w:pPr>
        <w:numPr>
          <w:ilvl w:val="0"/>
          <w:numId w:val="21"/>
        </w:numPr>
        <w:tabs>
          <w:tab w:val="num" w:pos="-2640"/>
        </w:tabs>
        <w:spacing w:line="276" w:lineRule="auto"/>
        <w:ind w:left="1865"/>
        <w:jc w:val="both"/>
        <w:rPr>
          <w:rFonts w:ascii="Arial" w:hAnsi="Arial" w:cs="Arial"/>
          <w:i/>
          <w:sz w:val="22"/>
          <w:szCs w:val="22"/>
        </w:rPr>
      </w:pPr>
      <w:r w:rsidRPr="00117962">
        <w:rPr>
          <w:rFonts w:ascii="Arial" w:hAnsi="Arial" w:cs="Arial"/>
          <w:i/>
          <w:sz w:val="22"/>
          <w:szCs w:val="22"/>
        </w:rPr>
        <w:t>La oferta recomendada se ajusta a las necesidades Institucionales.</w:t>
      </w:r>
    </w:p>
    <w:p w:rsidR="00117962" w:rsidRPr="00117962" w:rsidRDefault="00117962" w:rsidP="00117962">
      <w:pPr>
        <w:numPr>
          <w:ilvl w:val="0"/>
          <w:numId w:val="21"/>
        </w:numPr>
        <w:tabs>
          <w:tab w:val="num" w:pos="-2640"/>
        </w:tabs>
        <w:spacing w:line="276" w:lineRule="auto"/>
        <w:ind w:left="1865"/>
        <w:jc w:val="both"/>
        <w:rPr>
          <w:rFonts w:ascii="Arial" w:hAnsi="Arial" w:cs="Arial"/>
          <w:i/>
          <w:sz w:val="22"/>
          <w:szCs w:val="22"/>
        </w:rPr>
      </w:pPr>
      <w:r w:rsidRPr="00117962">
        <w:rPr>
          <w:rFonts w:ascii="Arial" w:hAnsi="Arial" w:cs="Arial"/>
          <w:i/>
          <w:sz w:val="22"/>
          <w:szCs w:val="22"/>
        </w:rPr>
        <w:t>La única oferta presentada se considera económicamente favorable.</w:t>
      </w:r>
    </w:p>
    <w:p w:rsidR="00117962" w:rsidRPr="00117962" w:rsidRDefault="00117962" w:rsidP="00117962">
      <w:pPr>
        <w:spacing w:line="276" w:lineRule="auto"/>
        <w:ind w:left="425"/>
        <w:jc w:val="both"/>
        <w:rPr>
          <w:rFonts w:ascii="Arial" w:hAnsi="Arial" w:cs="Arial"/>
          <w:i/>
          <w:sz w:val="22"/>
          <w:szCs w:val="22"/>
        </w:rPr>
      </w:pPr>
    </w:p>
    <w:p w:rsidR="00117962" w:rsidRPr="00117962" w:rsidRDefault="00117962" w:rsidP="00117962">
      <w:pPr>
        <w:spacing w:line="276" w:lineRule="auto"/>
        <w:ind w:left="803"/>
        <w:jc w:val="both"/>
        <w:rPr>
          <w:rFonts w:ascii="Arial" w:hAnsi="Arial" w:cs="Arial"/>
          <w:i/>
          <w:sz w:val="22"/>
          <w:szCs w:val="22"/>
        </w:rPr>
      </w:pPr>
      <w:r w:rsidRPr="00117962">
        <w:rPr>
          <w:rFonts w:ascii="Arial" w:hAnsi="Arial" w:cs="Arial"/>
          <w:i/>
          <w:sz w:val="22"/>
          <w:szCs w:val="22"/>
        </w:rPr>
        <w:t>…”</w:t>
      </w:r>
    </w:p>
    <w:p w:rsidR="00117962" w:rsidRPr="00117962" w:rsidRDefault="00117962" w:rsidP="00117962">
      <w:pPr>
        <w:jc w:val="both"/>
        <w:rPr>
          <w:rFonts w:ascii="Arial" w:hAnsi="Arial" w:cs="Arial"/>
          <w:sz w:val="22"/>
          <w:szCs w:val="22"/>
        </w:rPr>
      </w:pPr>
    </w:p>
    <w:p w:rsidR="00117962" w:rsidRPr="00117962" w:rsidRDefault="00117962" w:rsidP="00117962">
      <w:pPr>
        <w:numPr>
          <w:ilvl w:val="0"/>
          <w:numId w:val="30"/>
        </w:numPr>
        <w:tabs>
          <w:tab w:val="left" w:pos="0"/>
        </w:tabs>
        <w:contextualSpacing/>
        <w:jc w:val="both"/>
        <w:outlineLvl w:val="0"/>
        <w:rPr>
          <w:rFonts w:ascii="Arial" w:hAnsi="Arial" w:cs="Arial"/>
        </w:rPr>
      </w:pPr>
      <w:r w:rsidRPr="00117962">
        <w:rPr>
          <w:rFonts w:ascii="Arial" w:hAnsi="Arial" w:cs="Arial"/>
        </w:rPr>
        <w:t xml:space="preserve">Mediante correo electrónico del 04 de noviembre de 2019, suscrito por el MAE. Nelson </w:t>
      </w:r>
      <w:r w:rsidRPr="00117962">
        <w:rPr>
          <w:rFonts w:ascii="Arial" w:hAnsi="Arial" w:cs="Arial"/>
          <w:bCs/>
        </w:rPr>
        <w:t>Ortega</w:t>
      </w:r>
      <w:r w:rsidRPr="00117962">
        <w:rPr>
          <w:rFonts w:ascii="Arial" w:hAnsi="Arial" w:cs="Arial"/>
        </w:rPr>
        <w:t xml:space="preserve"> Jiménez, Coordinador de la Comisión de Planificación y Administración, se remite al Lic. Isidro Álvarez Salazar, Auditor Interno, copia del Informe de Adjudicación de la Licitación Pública N°2019-LN000002-APITCR, con el objetivo de recibir asesoría sobre el contenido del mismo.  </w:t>
      </w:r>
    </w:p>
    <w:p w:rsidR="00117962" w:rsidRPr="00117962" w:rsidRDefault="00117962" w:rsidP="00117962">
      <w:pPr>
        <w:tabs>
          <w:tab w:val="center" w:pos="4986"/>
        </w:tabs>
        <w:ind w:left="378"/>
        <w:contextualSpacing/>
        <w:jc w:val="both"/>
        <w:outlineLvl w:val="0"/>
        <w:rPr>
          <w:rFonts w:ascii="Arial" w:hAnsi="Arial" w:cs="Arial"/>
        </w:rPr>
      </w:pPr>
    </w:p>
    <w:p w:rsidR="00117962" w:rsidRPr="00117962" w:rsidRDefault="00117962" w:rsidP="00117962">
      <w:pPr>
        <w:numPr>
          <w:ilvl w:val="0"/>
          <w:numId w:val="30"/>
        </w:numPr>
        <w:tabs>
          <w:tab w:val="left" w:pos="0"/>
        </w:tabs>
        <w:contextualSpacing/>
        <w:jc w:val="both"/>
        <w:outlineLvl w:val="0"/>
        <w:rPr>
          <w:rFonts w:ascii="Arial" w:hAnsi="Arial" w:cs="Arial"/>
        </w:rPr>
      </w:pPr>
      <w:r w:rsidRPr="00117962">
        <w:rPr>
          <w:rFonts w:ascii="Arial" w:hAnsi="Arial" w:cs="Arial"/>
        </w:rPr>
        <w:t xml:space="preserve">La precitada solicitud es atendida por medio del oficio AUDI-AS-009-2019, con fecha </w:t>
      </w:r>
      <w:r w:rsidRPr="00117962">
        <w:rPr>
          <w:rFonts w:ascii="Arial" w:hAnsi="Arial" w:cs="Arial"/>
          <w:bCs/>
        </w:rPr>
        <w:t>de</w:t>
      </w:r>
      <w:r w:rsidRPr="00117962">
        <w:rPr>
          <w:rFonts w:ascii="Arial" w:hAnsi="Arial" w:cs="Arial"/>
        </w:rPr>
        <w:t xml:space="preserve"> recibido 07 de noviembre de 2019, suscrito por el Lic. Isidro Álvarez Salazar, Auditor Interno, dirigido al MAE. Nelson Ortega Jiménez, Coordinador de la Comisión de Planificación y Administración. En este se indica que, se ha considerado no solo el informe de adjudicación, sino también el contenido del expediente, a fin de analizar con mayor detalle la razonabilidad integral el proceso de contratación; realizando observaciones sobre los siguientes aspectos: </w:t>
      </w:r>
    </w:p>
    <w:p w:rsidR="00117962" w:rsidRPr="00117962" w:rsidRDefault="00117962" w:rsidP="00117962">
      <w:pPr>
        <w:tabs>
          <w:tab w:val="center" w:pos="4986"/>
        </w:tabs>
        <w:contextualSpacing/>
        <w:jc w:val="both"/>
        <w:outlineLvl w:val="0"/>
        <w:rPr>
          <w:rFonts w:ascii="Arial" w:hAnsi="Arial" w:cs="Arial"/>
        </w:rPr>
      </w:pPr>
    </w:p>
    <w:p w:rsidR="00117962" w:rsidRPr="00117962" w:rsidRDefault="00117962" w:rsidP="00117962">
      <w:pPr>
        <w:numPr>
          <w:ilvl w:val="0"/>
          <w:numId w:val="27"/>
        </w:numPr>
        <w:jc w:val="both"/>
        <w:outlineLvl w:val="0"/>
        <w:rPr>
          <w:rFonts w:ascii="Arial" w:hAnsi="Arial" w:cs="Arial"/>
        </w:rPr>
      </w:pPr>
      <w:r w:rsidRPr="00117962">
        <w:rPr>
          <w:rFonts w:ascii="Arial" w:hAnsi="Arial" w:cs="Arial"/>
        </w:rPr>
        <w:t xml:space="preserve">Sobre </w:t>
      </w:r>
      <w:r w:rsidRPr="00117962">
        <w:rPr>
          <w:rFonts w:ascii="Arial" w:hAnsi="Arial" w:cs="Arial"/>
          <w:color w:val="000000" w:themeColor="text1"/>
          <w:lang w:eastAsia="es-CR"/>
        </w:rPr>
        <w:t>el</w:t>
      </w:r>
      <w:r w:rsidRPr="00117962">
        <w:rPr>
          <w:rFonts w:ascii="Arial" w:hAnsi="Arial" w:cs="Arial"/>
        </w:rPr>
        <w:t xml:space="preserve"> precio:</w:t>
      </w:r>
    </w:p>
    <w:p w:rsidR="00117962" w:rsidRPr="00117962" w:rsidRDefault="00117962" w:rsidP="00117962">
      <w:pPr>
        <w:tabs>
          <w:tab w:val="center" w:pos="4986"/>
        </w:tabs>
        <w:ind w:left="378"/>
        <w:contextualSpacing/>
        <w:jc w:val="both"/>
        <w:outlineLvl w:val="0"/>
        <w:rPr>
          <w:rFonts w:ascii="Arial" w:hAnsi="Arial" w:cs="Arial"/>
        </w:rPr>
      </w:pPr>
    </w:p>
    <w:p w:rsidR="00117962" w:rsidRPr="00117962" w:rsidRDefault="00117962" w:rsidP="00117962">
      <w:pPr>
        <w:autoSpaceDE w:val="0"/>
        <w:autoSpaceDN w:val="0"/>
        <w:adjustRightInd w:val="0"/>
        <w:ind w:left="1098" w:right="423"/>
        <w:jc w:val="both"/>
        <w:rPr>
          <w:rFonts w:ascii="Arial" w:hAnsi="Arial" w:cs="Arial"/>
          <w:i/>
          <w:color w:val="000000"/>
          <w:sz w:val="22"/>
          <w:szCs w:val="22"/>
          <w:lang w:val="es-CR" w:eastAsia="es-CR"/>
        </w:rPr>
      </w:pPr>
      <w:r w:rsidRPr="00117962">
        <w:rPr>
          <w:rFonts w:ascii="Arial" w:hAnsi="Arial" w:cs="Arial"/>
          <w:i/>
          <w:color w:val="000000"/>
          <w:sz w:val="22"/>
          <w:szCs w:val="22"/>
          <w:lang w:val="es-CR" w:eastAsia="es-CR"/>
        </w:rPr>
        <w:t xml:space="preserve">“Se cuenta con la participación de una empresa oferente, por lo que se echa de menos un análisis que sustente la razonabilidad del precio de esta licitación. </w:t>
      </w:r>
    </w:p>
    <w:p w:rsidR="00117962" w:rsidRPr="00117962" w:rsidRDefault="00117962" w:rsidP="00117962">
      <w:pPr>
        <w:autoSpaceDE w:val="0"/>
        <w:autoSpaceDN w:val="0"/>
        <w:adjustRightInd w:val="0"/>
        <w:ind w:left="1098" w:right="423"/>
        <w:jc w:val="both"/>
        <w:rPr>
          <w:rFonts w:ascii="Arial" w:hAnsi="Arial" w:cs="Arial"/>
          <w:i/>
          <w:color w:val="000000"/>
          <w:sz w:val="22"/>
          <w:szCs w:val="22"/>
          <w:lang w:val="es-CR" w:eastAsia="es-CR"/>
        </w:rPr>
      </w:pPr>
      <w:r w:rsidRPr="00117962">
        <w:rPr>
          <w:rFonts w:ascii="Arial" w:hAnsi="Arial" w:cs="Arial"/>
          <w:i/>
          <w:color w:val="000000"/>
          <w:sz w:val="22"/>
          <w:szCs w:val="22"/>
          <w:lang w:val="es-CR" w:eastAsia="es-CR"/>
        </w:rPr>
        <w:t>La unidad técnica solicitante indica que el precio es razonable en un solo renglón del informe presentado, sin aportar los elementos necesarios que así lo sustentan, por lo que se considera conveniente ampliar dicho análisis y documentarlo.”</w:t>
      </w:r>
    </w:p>
    <w:p w:rsidR="00117962" w:rsidRPr="00117962" w:rsidRDefault="00117962" w:rsidP="00117962">
      <w:pPr>
        <w:autoSpaceDE w:val="0"/>
        <w:autoSpaceDN w:val="0"/>
        <w:adjustRightInd w:val="0"/>
        <w:ind w:left="567" w:right="423"/>
        <w:jc w:val="both"/>
        <w:rPr>
          <w:rFonts w:ascii="Arial" w:hAnsi="Arial" w:cs="Arial"/>
          <w:i/>
          <w:color w:val="000000"/>
          <w:sz w:val="22"/>
          <w:szCs w:val="22"/>
          <w:lang w:val="es-CR" w:eastAsia="es-CR"/>
        </w:rPr>
      </w:pPr>
    </w:p>
    <w:p w:rsidR="00117962" w:rsidRPr="00117962" w:rsidRDefault="00117962" w:rsidP="00117962">
      <w:pPr>
        <w:numPr>
          <w:ilvl w:val="0"/>
          <w:numId w:val="27"/>
        </w:numPr>
        <w:jc w:val="both"/>
        <w:outlineLvl w:val="0"/>
        <w:rPr>
          <w:rFonts w:ascii="Arial" w:hAnsi="Arial" w:cs="Arial"/>
          <w:i/>
          <w:color w:val="000000"/>
          <w:sz w:val="22"/>
          <w:szCs w:val="22"/>
          <w:lang w:val="es-CR" w:eastAsia="es-CR"/>
        </w:rPr>
      </w:pPr>
      <w:r w:rsidRPr="00117962">
        <w:rPr>
          <w:rFonts w:ascii="Arial" w:hAnsi="Arial" w:cs="Arial"/>
        </w:rPr>
        <w:t xml:space="preserve">Sobre la </w:t>
      </w:r>
      <w:r w:rsidRPr="00117962">
        <w:rPr>
          <w:rFonts w:ascii="Arial" w:hAnsi="Arial" w:cs="Arial"/>
          <w:color w:val="000000" w:themeColor="text1"/>
          <w:lang w:eastAsia="es-CR"/>
        </w:rPr>
        <w:t>cantidad</w:t>
      </w:r>
      <w:r w:rsidRPr="00117962">
        <w:rPr>
          <w:rFonts w:ascii="Arial" w:hAnsi="Arial" w:cs="Arial"/>
        </w:rPr>
        <w:t xml:space="preserve"> de personas incluidas en el contrato y cargas de trabajo:</w:t>
      </w:r>
    </w:p>
    <w:p w:rsidR="00117962" w:rsidRPr="00117962" w:rsidRDefault="00117962" w:rsidP="00117962">
      <w:pPr>
        <w:autoSpaceDE w:val="0"/>
        <w:autoSpaceDN w:val="0"/>
        <w:adjustRightInd w:val="0"/>
        <w:ind w:left="567" w:right="423"/>
        <w:jc w:val="both"/>
        <w:rPr>
          <w:rFonts w:ascii="Arial" w:hAnsi="Arial" w:cs="Arial"/>
          <w:i/>
          <w:color w:val="000000"/>
          <w:sz w:val="22"/>
          <w:szCs w:val="22"/>
          <w:lang w:val="es-CR" w:eastAsia="es-CR"/>
        </w:rPr>
      </w:pPr>
    </w:p>
    <w:p w:rsidR="00117962" w:rsidRPr="00117962" w:rsidRDefault="00117962" w:rsidP="00117962">
      <w:pPr>
        <w:autoSpaceDE w:val="0"/>
        <w:autoSpaceDN w:val="0"/>
        <w:adjustRightInd w:val="0"/>
        <w:ind w:left="1098" w:right="423"/>
        <w:jc w:val="both"/>
        <w:rPr>
          <w:rFonts w:ascii="Arial" w:hAnsi="Arial" w:cs="Arial"/>
          <w:i/>
          <w:color w:val="000000"/>
          <w:sz w:val="22"/>
          <w:szCs w:val="22"/>
          <w:lang w:val="es-CR" w:eastAsia="es-CR"/>
        </w:rPr>
      </w:pPr>
      <w:r w:rsidRPr="00117962">
        <w:rPr>
          <w:rFonts w:ascii="Arial" w:hAnsi="Arial" w:cs="Arial"/>
          <w:i/>
          <w:color w:val="000000"/>
          <w:sz w:val="22"/>
          <w:szCs w:val="22"/>
          <w:lang w:val="es-CR" w:eastAsia="es-CR"/>
        </w:rPr>
        <w:t xml:space="preserve">“Con respecto a la cantidad de personas solicitadas para atender este servicio, llama la atención que sea de 17 y que se realice con una división de puestos en la que cada persona tendrá tareas específicas, por ejemplo de albañilería, pintura, fontanería, soldadura, labores que se pudo requerir en el cartel como de mantenimiento general, pues pueden ser realizadas por la misma persona, exceptuando los trabajos que necesitan de mano de obra especializada, como de electricidad y/o aires acondicionados. </w:t>
      </w:r>
    </w:p>
    <w:p w:rsidR="00117962" w:rsidRPr="00117962" w:rsidRDefault="00117962" w:rsidP="00117962">
      <w:pPr>
        <w:autoSpaceDE w:val="0"/>
        <w:autoSpaceDN w:val="0"/>
        <w:adjustRightInd w:val="0"/>
        <w:ind w:left="284" w:right="423"/>
        <w:jc w:val="both"/>
        <w:rPr>
          <w:rFonts w:ascii="Arial" w:hAnsi="Arial" w:cs="Arial"/>
          <w:i/>
          <w:color w:val="000000"/>
          <w:sz w:val="22"/>
          <w:szCs w:val="22"/>
          <w:lang w:val="es-CR" w:eastAsia="es-CR"/>
        </w:rPr>
      </w:pPr>
    </w:p>
    <w:p w:rsidR="00117962" w:rsidRDefault="00117962" w:rsidP="00117962">
      <w:pPr>
        <w:autoSpaceDE w:val="0"/>
        <w:autoSpaceDN w:val="0"/>
        <w:adjustRightInd w:val="0"/>
        <w:ind w:left="1098" w:right="423"/>
        <w:jc w:val="both"/>
        <w:rPr>
          <w:rFonts w:ascii="Arial" w:hAnsi="Arial" w:cs="Arial"/>
          <w:i/>
          <w:color w:val="000000"/>
          <w:sz w:val="22"/>
          <w:szCs w:val="22"/>
          <w:lang w:val="es-CR" w:eastAsia="es-CR"/>
        </w:rPr>
      </w:pPr>
      <w:r w:rsidRPr="00117962">
        <w:rPr>
          <w:rFonts w:ascii="Arial" w:hAnsi="Arial" w:cs="Arial"/>
          <w:i/>
          <w:color w:val="000000"/>
          <w:sz w:val="22"/>
          <w:szCs w:val="22"/>
          <w:lang w:val="es-CR" w:eastAsia="es-CR"/>
        </w:rPr>
        <w:t>En relación con lo anterior, se requirió a la Unidad de Servicios Generales del Campus Tecnológico Local San Carlos, un detalle de la cantidad de órdenes de servicios que se han atendido en 2019 (según contrato vigente en el que se dispone de 16 colaboradores) y se informa que a la fecha se han atendido 536 órdenes, lo que representa un promedio de 3.5 órdenes de trabajo por colaborador al mes. El detalle se muestra a continuación:</w:t>
      </w:r>
    </w:p>
    <w:p w:rsidR="00643F55" w:rsidRDefault="00643F55" w:rsidP="00117962">
      <w:pPr>
        <w:autoSpaceDE w:val="0"/>
        <w:autoSpaceDN w:val="0"/>
        <w:adjustRightInd w:val="0"/>
        <w:ind w:left="1098" w:right="423"/>
        <w:jc w:val="both"/>
        <w:rPr>
          <w:rFonts w:ascii="Arial" w:hAnsi="Arial" w:cs="Arial"/>
          <w:i/>
          <w:color w:val="000000"/>
          <w:sz w:val="22"/>
          <w:szCs w:val="22"/>
          <w:lang w:val="es-CR" w:eastAsia="es-CR"/>
        </w:rPr>
      </w:pPr>
    </w:p>
    <w:p w:rsidR="00643F55" w:rsidRPr="00117962" w:rsidRDefault="00643F55" w:rsidP="00117962">
      <w:pPr>
        <w:autoSpaceDE w:val="0"/>
        <w:autoSpaceDN w:val="0"/>
        <w:adjustRightInd w:val="0"/>
        <w:ind w:left="1098" w:right="423"/>
        <w:jc w:val="both"/>
        <w:rPr>
          <w:rFonts w:ascii="Arial" w:hAnsi="Arial" w:cs="Arial"/>
          <w:i/>
          <w:color w:val="000000"/>
          <w:sz w:val="22"/>
          <w:szCs w:val="22"/>
          <w:lang w:val="es-CR" w:eastAsia="es-CR"/>
        </w:rPr>
      </w:pPr>
    </w:p>
    <w:p w:rsidR="00117962" w:rsidRPr="00117962" w:rsidRDefault="00117962" w:rsidP="00117962">
      <w:pPr>
        <w:autoSpaceDE w:val="0"/>
        <w:autoSpaceDN w:val="0"/>
        <w:adjustRightInd w:val="0"/>
        <w:ind w:left="1098" w:right="423"/>
        <w:jc w:val="both"/>
        <w:rPr>
          <w:rFonts w:ascii="Arial" w:hAnsi="Arial" w:cs="Arial"/>
          <w:color w:val="000000"/>
          <w:sz w:val="23"/>
          <w:szCs w:val="23"/>
          <w:lang w:val="es-CR" w:eastAsia="es-CR"/>
        </w:rPr>
      </w:pPr>
    </w:p>
    <w:tbl>
      <w:tblPr>
        <w:tblStyle w:val="Tablaconcuadrcula15"/>
        <w:tblW w:w="4225" w:type="pct"/>
        <w:jc w:val="right"/>
        <w:tblLook w:val="0000" w:firstRow="0" w:lastRow="0" w:firstColumn="0" w:lastColumn="0" w:noHBand="0" w:noVBand="0"/>
      </w:tblPr>
      <w:tblGrid>
        <w:gridCol w:w="1703"/>
        <w:gridCol w:w="1842"/>
        <w:gridCol w:w="2128"/>
        <w:gridCol w:w="1983"/>
      </w:tblGrid>
      <w:tr w:rsidR="00117962" w:rsidRPr="00117962" w:rsidTr="00C0749A">
        <w:trPr>
          <w:trHeight w:val="244"/>
          <w:jc w:val="right"/>
        </w:trPr>
        <w:tc>
          <w:tcPr>
            <w:tcW w:w="1112" w:type="pct"/>
            <w:vAlign w:val="center"/>
          </w:tcPr>
          <w:p w:rsidR="00117962" w:rsidRPr="00117962" w:rsidRDefault="00117962" w:rsidP="00117962">
            <w:pPr>
              <w:autoSpaceDE w:val="0"/>
              <w:autoSpaceDN w:val="0"/>
              <w:adjustRightInd w:val="0"/>
              <w:jc w:val="center"/>
              <w:rPr>
                <w:rFonts w:ascii="Arial" w:hAnsi="Arial" w:cs="Arial"/>
                <w:color w:val="000000"/>
                <w:sz w:val="22"/>
                <w:szCs w:val="22"/>
                <w:lang w:val="es-CR" w:eastAsia="es-CR"/>
              </w:rPr>
            </w:pPr>
            <w:r w:rsidRPr="00117962">
              <w:rPr>
                <w:rFonts w:ascii="Arial" w:hAnsi="Arial" w:cs="Arial"/>
                <w:b/>
                <w:bCs/>
                <w:color w:val="000000"/>
                <w:sz w:val="22"/>
                <w:szCs w:val="22"/>
                <w:lang w:val="es-CR" w:eastAsia="es-CR"/>
              </w:rPr>
              <w:t>Cantidad de órdenes</w:t>
            </w:r>
          </w:p>
        </w:tc>
        <w:tc>
          <w:tcPr>
            <w:tcW w:w="1203" w:type="pct"/>
            <w:vAlign w:val="center"/>
          </w:tcPr>
          <w:p w:rsidR="00117962" w:rsidRPr="00117962" w:rsidRDefault="00117962" w:rsidP="00117962">
            <w:pPr>
              <w:autoSpaceDE w:val="0"/>
              <w:autoSpaceDN w:val="0"/>
              <w:adjustRightInd w:val="0"/>
              <w:jc w:val="center"/>
              <w:rPr>
                <w:rFonts w:ascii="Arial" w:hAnsi="Arial" w:cs="Arial"/>
                <w:color w:val="000000"/>
                <w:sz w:val="22"/>
                <w:szCs w:val="22"/>
                <w:lang w:val="es-CR" w:eastAsia="es-CR"/>
              </w:rPr>
            </w:pPr>
            <w:r w:rsidRPr="00117962">
              <w:rPr>
                <w:rFonts w:ascii="Arial" w:hAnsi="Arial" w:cs="Arial"/>
                <w:b/>
                <w:bCs/>
                <w:color w:val="000000"/>
                <w:sz w:val="22"/>
                <w:szCs w:val="22"/>
                <w:lang w:val="es-CR" w:eastAsia="es-CR"/>
              </w:rPr>
              <w:t>Total colaboradores</w:t>
            </w:r>
          </w:p>
        </w:tc>
        <w:tc>
          <w:tcPr>
            <w:tcW w:w="1390" w:type="pct"/>
            <w:vAlign w:val="center"/>
          </w:tcPr>
          <w:p w:rsidR="00117962" w:rsidRPr="00117962" w:rsidRDefault="00117962" w:rsidP="00117962">
            <w:pPr>
              <w:autoSpaceDE w:val="0"/>
              <w:autoSpaceDN w:val="0"/>
              <w:adjustRightInd w:val="0"/>
              <w:jc w:val="center"/>
              <w:rPr>
                <w:rFonts w:ascii="Arial" w:hAnsi="Arial" w:cs="Arial"/>
                <w:color w:val="000000"/>
                <w:sz w:val="22"/>
                <w:szCs w:val="22"/>
                <w:lang w:val="es-CR" w:eastAsia="es-CR"/>
              </w:rPr>
            </w:pPr>
            <w:r w:rsidRPr="00117962">
              <w:rPr>
                <w:rFonts w:ascii="Arial" w:hAnsi="Arial" w:cs="Arial"/>
                <w:b/>
                <w:bCs/>
                <w:color w:val="000000"/>
                <w:sz w:val="22"/>
                <w:szCs w:val="22"/>
                <w:lang w:val="es-CR" w:eastAsia="es-CR"/>
              </w:rPr>
              <w:t>Meses de 2019</w:t>
            </w:r>
          </w:p>
        </w:tc>
        <w:tc>
          <w:tcPr>
            <w:tcW w:w="1295" w:type="pct"/>
            <w:vAlign w:val="center"/>
          </w:tcPr>
          <w:p w:rsidR="00117962" w:rsidRPr="00117962" w:rsidRDefault="00117962" w:rsidP="00117962">
            <w:pPr>
              <w:autoSpaceDE w:val="0"/>
              <w:autoSpaceDN w:val="0"/>
              <w:adjustRightInd w:val="0"/>
              <w:jc w:val="center"/>
              <w:rPr>
                <w:rFonts w:ascii="Arial" w:hAnsi="Arial" w:cs="Arial"/>
                <w:color w:val="000000"/>
                <w:sz w:val="22"/>
                <w:szCs w:val="22"/>
                <w:lang w:val="es-CR" w:eastAsia="es-CR"/>
              </w:rPr>
            </w:pPr>
            <w:r w:rsidRPr="00117962">
              <w:rPr>
                <w:rFonts w:ascii="Arial" w:hAnsi="Arial" w:cs="Arial"/>
                <w:b/>
                <w:bCs/>
                <w:color w:val="000000"/>
                <w:sz w:val="22"/>
                <w:szCs w:val="22"/>
                <w:lang w:val="es-CR" w:eastAsia="es-CR"/>
              </w:rPr>
              <w:t>Promedio mensual por colaborador</w:t>
            </w:r>
          </w:p>
        </w:tc>
      </w:tr>
      <w:tr w:rsidR="00117962" w:rsidRPr="00117962" w:rsidTr="00C0749A">
        <w:trPr>
          <w:trHeight w:val="110"/>
          <w:jc w:val="right"/>
        </w:trPr>
        <w:tc>
          <w:tcPr>
            <w:tcW w:w="1112" w:type="pct"/>
          </w:tcPr>
          <w:p w:rsidR="00117962" w:rsidRPr="00117962" w:rsidRDefault="00117962" w:rsidP="00117962">
            <w:pPr>
              <w:autoSpaceDE w:val="0"/>
              <w:autoSpaceDN w:val="0"/>
              <w:adjustRightInd w:val="0"/>
              <w:jc w:val="center"/>
              <w:rPr>
                <w:rFonts w:ascii="Arial" w:hAnsi="Arial" w:cs="Arial"/>
                <w:color w:val="000000"/>
                <w:sz w:val="22"/>
                <w:szCs w:val="22"/>
                <w:lang w:val="es-CR" w:eastAsia="es-CR"/>
              </w:rPr>
            </w:pPr>
            <w:r w:rsidRPr="00117962">
              <w:rPr>
                <w:rFonts w:ascii="Arial" w:hAnsi="Arial" w:cs="Arial"/>
                <w:color w:val="000000"/>
                <w:sz w:val="22"/>
                <w:szCs w:val="22"/>
                <w:lang w:val="es-CR" w:eastAsia="es-CR"/>
              </w:rPr>
              <w:t>536</w:t>
            </w:r>
          </w:p>
        </w:tc>
        <w:tc>
          <w:tcPr>
            <w:tcW w:w="1203" w:type="pct"/>
          </w:tcPr>
          <w:p w:rsidR="00117962" w:rsidRPr="00117962" w:rsidRDefault="00117962" w:rsidP="00117962">
            <w:pPr>
              <w:autoSpaceDE w:val="0"/>
              <w:autoSpaceDN w:val="0"/>
              <w:adjustRightInd w:val="0"/>
              <w:jc w:val="center"/>
              <w:rPr>
                <w:rFonts w:ascii="Arial" w:hAnsi="Arial" w:cs="Arial"/>
                <w:color w:val="000000"/>
                <w:sz w:val="22"/>
                <w:szCs w:val="22"/>
                <w:lang w:val="es-CR" w:eastAsia="es-CR"/>
              </w:rPr>
            </w:pPr>
            <w:r w:rsidRPr="00117962">
              <w:rPr>
                <w:rFonts w:ascii="Arial" w:hAnsi="Arial" w:cs="Arial"/>
                <w:color w:val="000000"/>
                <w:sz w:val="22"/>
                <w:szCs w:val="22"/>
                <w:lang w:val="es-CR" w:eastAsia="es-CR"/>
              </w:rPr>
              <w:t>16</w:t>
            </w:r>
          </w:p>
        </w:tc>
        <w:tc>
          <w:tcPr>
            <w:tcW w:w="1390" w:type="pct"/>
          </w:tcPr>
          <w:p w:rsidR="00117962" w:rsidRPr="00117962" w:rsidRDefault="00117962" w:rsidP="00117962">
            <w:pPr>
              <w:autoSpaceDE w:val="0"/>
              <w:autoSpaceDN w:val="0"/>
              <w:adjustRightInd w:val="0"/>
              <w:jc w:val="center"/>
              <w:rPr>
                <w:rFonts w:ascii="Arial" w:hAnsi="Arial" w:cs="Arial"/>
                <w:color w:val="000000"/>
                <w:sz w:val="22"/>
                <w:szCs w:val="22"/>
                <w:lang w:val="es-CR" w:eastAsia="es-CR"/>
              </w:rPr>
            </w:pPr>
            <w:r w:rsidRPr="00117962">
              <w:rPr>
                <w:rFonts w:ascii="Arial" w:hAnsi="Arial" w:cs="Arial"/>
                <w:color w:val="000000"/>
                <w:sz w:val="22"/>
                <w:szCs w:val="22"/>
                <w:lang w:val="es-CR" w:eastAsia="es-CR"/>
              </w:rPr>
              <w:t>9,5</w:t>
            </w:r>
          </w:p>
        </w:tc>
        <w:tc>
          <w:tcPr>
            <w:tcW w:w="1295" w:type="pct"/>
          </w:tcPr>
          <w:p w:rsidR="00117962" w:rsidRPr="00117962" w:rsidRDefault="00117962" w:rsidP="00117962">
            <w:pPr>
              <w:autoSpaceDE w:val="0"/>
              <w:autoSpaceDN w:val="0"/>
              <w:adjustRightInd w:val="0"/>
              <w:jc w:val="center"/>
              <w:rPr>
                <w:rFonts w:ascii="Arial" w:hAnsi="Arial" w:cs="Arial"/>
                <w:color w:val="000000"/>
                <w:sz w:val="22"/>
                <w:szCs w:val="22"/>
                <w:lang w:val="es-CR" w:eastAsia="es-CR"/>
              </w:rPr>
            </w:pPr>
            <w:r w:rsidRPr="00117962">
              <w:rPr>
                <w:rFonts w:ascii="Arial" w:hAnsi="Arial" w:cs="Arial"/>
                <w:color w:val="000000"/>
                <w:sz w:val="22"/>
                <w:szCs w:val="22"/>
                <w:lang w:val="es-CR" w:eastAsia="es-CR"/>
              </w:rPr>
              <w:t>3,53</w:t>
            </w:r>
          </w:p>
        </w:tc>
      </w:tr>
    </w:tbl>
    <w:p w:rsidR="00117962" w:rsidRPr="00117962" w:rsidRDefault="00117962" w:rsidP="00117962">
      <w:pPr>
        <w:jc w:val="both"/>
        <w:rPr>
          <w:rFonts w:ascii="Arial" w:hAnsi="Arial" w:cs="Arial"/>
        </w:rPr>
      </w:pPr>
    </w:p>
    <w:p w:rsidR="00117962" w:rsidRPr="00117962" w:rsidRDefault="00117962" w:rsidP="00117962">
      <w:pPr>
        <w:autoSpaceDE w:val="0"/>
        <w:autoSpaceDN w:val="0"/>
        <w:adjustRightInd w:val="0"/>
        <w:ind w:left="1098" w:right="423"/>
        <w:jc w:val="both"/>
        <w:rPr>
          <w:rFonts w:ascii="Arial" w:hAnsi="Arial" w:cs="Arial"/>
          <w:i/>
          <w:color w:val="000000"/>
          <w:sz w:val="22"/>
          <w:szCs w:val="22"/>
          <w:lang w:val="es-CR" w:eastAsia="es-CR"/>
        </w:rPr>
      </w:pPr>
      <w:r w:rsidRPr="00117962">
        <w:rPr>
          <w:rFonts w:ascii="Arial" w:hAnsi="Arial" w:cs="Arial"/>
          <w:i/>
          <w:color w:val="000000"/>
          <w:sz w:val="22"/>
          <w:szCs w:val="22"/>
          <w:lang w:val="es-CR" w:eastAsia="es-CR"/>
        </w:rPr>
        <w:t xml:space="preserve">El anterior promedio sugiere que podría analizarse si la cantidad de solicitudes de servicio y/o carga de trabajo que se está generando realmente justifican la cantidad de colaboradores que se ha solicitado y pretende adjudicar, pues 3.5 órdenes al mes por colaborador podría resultar insignificante, considerando que muchas corresponden a trabajos como cambio de bombillas fluorescentes, llaves o mangueras de lavatorio, pintura menor, </w:t>
      </w:r>
      <w:proofErr w:type="spellStart"/>
      <w:r w:rsidRPr="00117962">
        <w:rPr>
          <w:rFonts w:ascii="Arial" w:hAnsi="Arial" w:cs="Arial"/>
          <w:i/>
          <w:color w:val="000000"/>
          <w:sz w:val="22"/>
          <w:szCs w:val="22"/>
          <w:lang w:val="es-CR" w:eastAsia="es-CR"/>
        </w:rPr>
        <w:t>etc</w:t>
      </w:r>
      <w:proofErr w:type="spellEnd"/>
      <w:r w:rsidRPr="00117962">
        <w:rPr>
          <w:rFonts w:ascii="Arial" w:hAnsi="Arial" w:cs="Arial"/>
          <w:i/>
          <w:color w:val="000000"/>
          <w:sz w:val="22"/>
          <w:szCs w:val="22"/>
          <w:lang w:val="es-CR" w:eastAsia="es-CR"/>
        </w:rPr>
        <w:t xml:space="preserve">, que no requieren de mayor tiempo. </w:t>
      </w:r>
    </w:p>
    <w:p w:rsidR="00117962" w:rsidRPr="00117962" w:rsidRDefault="00117962" w:rsidP="00117962">
      <w:pPr>
        <w:autoSpaceDE w:val="0"/>
        <w:autoSpaceDN w:val="0"/>
        <w:adjustRightInd w:val="0"/>
        <w:ind w:left="567" w:right="423"/>
        <w:jc w:val="both"/>
        <w:rPr>
          <w:rFonts w:ascii="Arial" w:hAnsi="Arial" w:cs="Arial"/>
          <w:i/>
          <w:color w:val="000000"/>
          <w:sz w:val="22"/>
          <w:szCs w:val="22"/>
          <w:lang w:val="es-CR" w:eastAsia="es-CR"/>
        </w:rPr>
      </w:pPr>
    </w:p>
    <w:p w:rsidR="00117962" w:rsidRPr="00117962" w:rsidRDefault="00117962" w:rsidP="00117962">
      <w:pPr>
        <w:autoSpaceDE w:val="0"/>
        <w:autoSpaceDN w:val="0"/>
        <w:adjustRightInd w:val="0"/>
        <w:ind w:left="1098" w:right="423"/>
        <w:jc w:val="both"/>
        <w:rPr>
          <w:rFonts w:ascii="Arial" w:hAnsi="Arial" w:cs="Arial"/>
          <w:i/>
          <w:color w:val="000000"/>
          <w:sz w:val="22"/>
          <w:szCs w:val="22"/>
          <w:lang w:val="es-CR" w:eastAsia="es-CR"/>
        </w:rPr>
      </w:pPr>
      <w:r w:rsidRPr="00117962">
        <w:rPr>
          <w:rFonts w:ascii="Arial" w:hAnsi="Arial" w:cs="Arial"/>
          <w:i/>
          <w:color w:val="000000"/>
          <w:sz w:val="22"/>
          <w:szCs w:val="22"/>
          <w:lang w:val="es-CR" w:eastAsia="es-CR"/>
        </w:rPr>
        <w:t>También se solicita información a la Dirección de Servicios Generales del Campus Tecnológico Local Cartago, sobre la cantidad de colaboradores que se tiene para atender las labores de mantenimiento y se informa que se dispone de 24 colaboradores para atender un área construida de 133.853 m2,, lo que representa 5577 m2 por colaborador, existiendo también una diferencia sustancial si se hace el mismo ejercicio para el Campus Tecnológico Local San Carlos, que tiene un área construida de 41.309 m2, dando como resultado 2429 m2 por colaborador, lo que representa un 43% de m2.”</w:t>
      </w:r>
    </w:p>
    <w:p w:rsidR="00117962" w:rsidRPr="00117962" w:rsidRDefault="00117962" w:rsidP="00117962">
      <w:pPr>
        <w:autoSpaceDE w:val="0"/>
        <w:autoSpaceDN w:val="0"/>
        <w:adjustRightInd w:val="0"/>
        <w:ind w:left="284" w:right="423"/>
        <w:jc w:val="both"/>
        <w:rPr>
          <w:rFonts w:ascii="Arial" w:hAnsi="Arial" w:cs="Arial"/>
          <w:i/>
          <w:color w:val="000000"/>
          <w:sz w:val="22"/>
          <w:szCs w:val="22"/>
          <w:lang w:val="es-CR" w:eastAsia="es-CR"/>
        </w:rPr>
      </w:pPr>
    </w:p>
    <w:p w:rsidR="00117962" w:rsidRPr="00117962" w:rsidRDefault="00117962" w:rsidP="00117962">
      <w:pPr>
        <w:numPr>
          <w:ilvl w:val="0"/>
          <w:numId w:val="30"/>
        </w:numPr>
        <w:tabs>
          <w:tab w:val="left" w:pos="0"/>
        </w:tabs>
        <w:contextualSpacing/>
        <w:jc w:val="both"/>
        <w:outlineLvl w:val="0"/>
        <w:rPr>
          <w:rFonts w:ascii="Arial" w:hAnsi="Arial" w:cs="Arial"/>
          <w:i/>
        </w:rPr>
      </w:pPr>
      <w:r w:rsidRPr="00117962">
        <w:rPr>
          <w:rFonts w:ascii="Arial" w:hAnsi="Arial" w:cs="Arial"/>
        </w:rPr>
        <w:t xml:space="preserve">En </w:t>
      </w:r>
      <w:r w:rsidRPr="00117962">
        <w:rPr>
          <w:rFonts w:ascii="Arial" w:hAnsi="Arial" w:cs="Arial"/>
          <w:bCs/>
        </w:rPr>
        <w:t>reunión</w:t>
      </w:r>
      <w:r w:rsidRPr="00117962">
        <w:rPr>
          <w:rFonts w:ascii="Arial" w:hAnsi="Arial" w:cs="Arial"/>
        </w:rPr>
        <w:t xml:space="preserve"> No. 845-2019, realizada el jueves 07 de noviembre de 2019, la Comisión de Planificación y Administración conoce el informe rendido por la Auditoría Interna y tomando como insumo las observaciones recibidas, se coincide en que, previo a emitir el dictamen, es conveniente solicitar a la Administración que amplíe al menos los siguientes aspectos: </w:t>
      </w:r>
    </w:p>
    <w:p w:rsidR="00117962" w:rsidRPr="00117962" w:rsidRDefault="00117962" w:rsidP="00117962">
      <w:pPr>
        <w:tabs>
          <w:tab w:val="center" w:pos="4986"/>
        </w:tabs>
        <w:ind w:left="284"/>
        <w:contextualSpacing/>
        <w:jc w:val="both"/>
        <w:outlineLvl w:val="0"/>
        <w:rPr>
          <w:rFonts w:ascii="Arial" w:hAnsi="Arial" w:cs="Arial"/>
          <w:i/>
        </w:rPr>
      </w:pPr>
    </w:p>
    <w:p w:rsidR="00117962" w:rsidRPr="00117962" w:rsidRDefault="00117962" w:rsidP="00117962">
      <w:pPr>
        <w:numPr>
          <w:ilvl w:val="0"/>
          <w:numId w:val="27"/>
        </w:numPr>
        <w:jc w:val="both"/>
        <w:outlineLvl w:val="0"/>
        <w:rPr>
          <w:rFonts w:ascii="Arial" w:hAnsi="Arial" w:cs="Arial"/>
          <w:i/>
        </w:rPr>
      </w:pPr>
      <w:r w:rsidRPr="00117962">
        <w:rPr>
          <w:rFonts w:ascii="Arial" w:hAnsi="Arial" w:cs="Arial"/>
        </w:rPr>
        <w:t xml:space="preserve">Sobre el precio: se coincide con la Auditoría Interna, en cuanto a la necesidad de un </w:t>
      </w:r>
      <w:r w:rsidRPr="00117962">
        <w:rPr>
          <w:rFonts w:ascii="Arial" w:hAnsi="Arial" w:cs="Arial"/>
          <w:color w:val="000000" w:themeColor="text1"/>
          <w:lang w:eastAsia="es-CR"/>
        </w:rPr>
        <w:t>análisis</w:t>
      </w:r>
      <w:r w:rsidRPr="00117962">
        <w:rPr>
          <w:rFonts w:ascii="Arial" w:hAnsi="Arial" w:cs="Arial"/>
        </w:rPr>
        <w:t xml:space="preserve"> de razonabilidad del precio indicado por la única empresa oferente, en el informe técnico o bien donde se presenta la recomendación de adjudicación.</w:t>
      </w:r>
    </w:p>
    <w:p w:rsidR="00117962" w:rsidRPr="00117962" w:rsidRDefault="00117962" w:rsidP="00117962">
      <w:pPr>
        <w:ind w:left="624"/>
        <w:jc w:val="both"/>
        <w:rPr>
          <w:rFonts w:ascii="Arial" w:hAnsi="Arial" w:cs="Arial"/>
        </w:rPr>
      </w:pPr>
    </w:p>
    <w:p w:rsidR="00117962" w:rsidRPr="00117962" w:rsidRDefault="00117962" w:rsidP="00117962">
      <w:pPr>
        <w:numPr>
          <w:ilvl w:val="0"/>
          <w:numId w:val="27"/>
        </w:numPr>
        <w:jc w:val="both"/>
        <w:outlineLvl w:val="0"/>
        <w:rPr>
          <w:rFonts w:ascii="Arial" w:hAnsi="Arial" w:cs="Arial"/>
        </w:rPr>
      </w:pPr>
      <w:r w:rsidRPr="00117962">
        <w:rPr>
          <w:rFonts w:ascii="Arial" w:hAnsi="Arial" w:cs="Arial"/>
        </w:rPr>
        <w:t xml:space="preserve">Sobre la fase recursiva: se requiere que se subsane la omisión de la indicación de los </w:t>
      </w:r>
      <w:r w:rsidRPr="00117962">
        <w:rPr>
          <w:rFonts w:ascii="Arial" w:hAnsi="Arial" w:cs="Arial"/>
          <w:color w:val="000000" w:themeColor="text1"/>
          <w:lang w:eastAsia="es-CR"/>
        </w:rPr>
        <w:t>recursos</w:t>
      </w:r>
      <w:r w:rsidRPr="00117962">
        <w:rPr>
          <w:rFonts w:ascii="Arial" w:hAnsi="Arial" w:cs="Arial"/>
        </w:rPr>
        <w:t xml:space="preserve"> que podrán interponerse al acto de adjudicación, así como el plazo y las instancias que corresponda. </w:t>
      </w:r>
    </w:p>
    <w:p w:rsidR="00117962" w:rsidRPr="00117962" w:rsidRDefault="00117962" w:rsidP="00117962">
      <w:pPr>
        <w:ind w:left="284"/>
        <w:jc w:val="both"/>
        <w:rPr>
          <w:rFonts w:ascii="Arial" w:hAnsi="Arial" w:cs="Arial"/>
        </w:rPr>
      </w:pPr>
    </w:p>
    <w:p w:rsidR="00117962" w:rsidRPr="00117962" w:rsidRDefault="00117962" w:rsidP="00117962">
      <w:pPr>
        <w:numPr>
          <w:ilvl w:val="0"/>
          <w:numId w:val="30"/>
        </w:numPr>
        <w:tabs>
          <w:tab w:val="left" w:pos="0"/>
        </w:tabs>
        <w:contextualSpacing/>
        <w:jc w:val="both"/>
        <w:outlineLvl w:val="0"/>
        <w:rPr>
          <w:rFonts w:ascii="Arial" w:hAnsi="Arial" w:cs="Arial"/>
        </w:rPr>
      </w:pPr>
      <w:r w:rsidRPr="00117962">
        <w:rPr>
          <w:rFonts w:ascii="Arial" w:hAnsi="Arial" w:cs="Arial"/>
        </w:rPr>
        <w:t xml:space="preserve">Los anteriores requerimientos se plasman en el oficio SCI-1223-2019, fechado 07 de </w:t>
      </w:r>
      <w:r w:rsidRPr="00117962">
        <w:rPr>
          <w:rFonts w:ascii="Arial" w:hAnsi="Arial" w:cs="Arial"/>
          <w:bCs/>
        </w:rPr>
        <w:t>noviembre</w:t>
      </w:r>
      <w:r w:rsidRPr="00117962">
        <w:rPr>
          <w:rFonts w:ascii="Arial" w:hAnsi="Arial" w:cs="Arial"/>
        </w:rPr>
        <w:t xml:space="preserve"> de 2019, suscrito por el MAE. Nelson Ortega Jiménez, Coordinador de la Comisión de Planificación y Administración y dirigido al Dr. Humberto Villalta Solano, Vicerrector de Administración.</w:t>
      </w:r>
    </w:p>
    <w:p w:rsidR="00117962" w:rsidRPr="00117962" w:rsidRDefault="00117962" w:rsidP="00117962">
      <w:pPr>
        <w:ind w:left="284"/>
        <w:jc w:val="both"/>
        <w:rPr>
          <w:rFonts w:ascii="Arial" w:hAnsi="Arial" w:cs="Arial"/>
          <w:color w:val="000000" w:themeColor="text1"/>
          <w:lang w:eastAsia="es-CR"/>
        </w:rPr>
      </w:pPr>
    </w:p>
    <w:p w:rsidR="00117962" w:rsidRPr="00643F55" w:rsidRDefault="00117962" w:rsidP="00117962">
      <w:pPr>
        <w:numPr>
          <w:ilvl w:val="0"/>
          <w:numId w:val="30"/>
        </w:numPr>
        <w:tabs>
          <w:tab w:val="left" w:pos="0"/>
        </w:tabs>
        <w:contextualSpacing/>
        <w:jc w:val="both"/>
        <w:outlineLvl w:val="0"/>
        <w:rPr>
          <w:rFonts w:ascii="Arial" w:hAnsi="Arial" w:cs="Arial"/>
          <w:color w:val="000000" w:themeColor="text1"/>
          <w:lang w:eastAsia="es-CR"/>
        </w:rPr>
      </w:pPr>
      <w:r w:rsidRPr="00117962">
        <w:rPr>
          <w:rFonts w:ascii="Arial" w:hAnsi="Arial" w:cs="Arial"/>
          <w:color w:val="000000" w:themeColor="text1"/>
          <w:lang w:val="es-CR" w:eastAsia="es-CR"/>
        </w:rPr>
        <w:t xml:space="preserve">La </w:t>
      </w:r>
      <w:r w:rsidRPr="00117962">
        <w:rPr>
          <w:rFonts w:ascii="Arial" w:hAnsi="Arial" w:cs="Arial"/>
        </w:rPr>
        <w:t>Secretaría</w:t>
      </w:r>
      <w:r w:rsidRPr="00117962">
        <w:rPr>
          <w:rFonts w:ascii="Arial" w:hAnsi="Arial" w:cs="Arial"/>
          <w:color w:val="000000" w:themeColor="text1"/>
          <w:lang w:val="es-CR" w:eastAsia="es-CR"/>
        </w:rPr>
        <w:t xml:space="preserve"> del Consejo Institucional recibe oficio </w:t>
      </w:r>
      <w:r w:rsidRPr="00117962">
        <w:rPr>
          <w:rFonts w:ascii="Arial" w:hAnsi="Arial" w:cs="Arial"/>
          <w:color w:val="000000" w:themeColor="text1"/>
          <w:lang w:eastAsia="es-CR"/>
        </w:rPr>
        <w:t xml:space="preserve">VAD-615-2019, con fecha de recibido </w:t>
      </w:r>
      <w:r w:rsidRPr="00117962">
        <w:rPr>
          <w:rFonts w:ascii="Arial" w:hAnsi="Arial" w:cs="Arial"/>
          <w:bCs/>
        </w:rPr>
        <w:t>13</w:t>
      </w:r>
      <w:r w:rsidRPr="00117962">
        <w:rPr>
          <w:rFonts w:ascii="Arial" w:hAnsi="Arial" w:cs="Arial"/>
          <w:color w:val="000000" w:themeColor="text1"/>
          <w:lang w:eastAsia="es-CR"/>
        </w:rPr>
        <w:t xml:space="preserve"> de noviembre de 2019, suscrito por el Dr. Humberto Villalta Solano, Vicerrector de Administración, dirigido al MAE. Nelson Ortega Jiménez, Coordinador de la Comisión de Planificación y Administración, en el que da respuesta al oficio </w:t>
      </w:r>
      <w:r w:rsidRPr="00117962">
        <w:rPr>
          <w:rFonts w:ascii="Arial" w:hAnsi="Arial" w:cs="Arial"/>
          <w:color w:val="000000" w:themeColor="text1"/>
          <w:lang w:val="es-CR" w:eastAsia="es-CR"/>
        </w:rPr>
        <w:t>SCI-1223-2019, aportando adjuntos los oficios AP-1453-2019 y SGSC-096-2019.</w:t>
      </w:r>
    </w:p>
    <w:p w:rsidR="00643F55" w:rsidRDefault="00643F55" w:rsidP="00643F55">
      <w:pPr>
        <w:pStyle w:val="Prrafodelista"/>
        <w:rPr>
          <w:rFonts w:ascii="Arial" w:hAnsi="Arial" w:cs="Arial"/>
          <w:color w:val="000000" w:themeColor="text1"/>
          <w:lang w:eastAsia="es-CR"/>
        </w:rPr>
      </w:pPr>
    </w:p>
    <w:p w:rsidR="00643F55" w:rsidRPr="00117962" w:rsidRDefault="00643F55" w:rsidP="00117962">
      <w:pPr>
        <w:numPr>
          <w:ilvl w:val="0"/>
          <w:numId w:val="30"/>
        </w:numPr>
        <w:tabs>
          <w:tab w:val="left" w:pos="0"/>
        </w:tabs>
        <w:contextualSpacing/>
        <w:jc w:val="both"/>
        <w:outlineLvl w:val="0"/>
        <w:rPr>
          <w:rFonts w:ascii="Arial" w:hAnsi="Arial" w:cs="Arial"/>
          <w:color w:val="000000" w:themeColor="text1"/>
          <w:lang w:eastAsia="es-CR"/>
        </w:rPr>
      </w:pPr>
    </w:p>
    <w:p w:rsidR="00117962" w:rsidRPr="00117962" w:rsidRDefault="00117962" w:rsidP="00117962">
      <w:pPr>
        <w:ind w:left="378"/>
        <w:jc w:val="both"/>
        <w:outlineLvl w:val="0"/>
        <w:rPr>
          <w:rFonts w:ascii="Arial" w:hAnsi="Arial" w:cs="Arial"/>
          <w:color w:val="000000" w:themeColor="text1"/>
          <w:sz w:val="23"/>
          <w:szCs w:val="23"/>
          <w:lang w:val="es-CR" w:eastAsia="es-CR"/>
        </w:rPr>
      </w:pPr>
    </w:p>
    <w:p w:rsidR="00117962" w:rsidRPr="00117962" w:rsidRDefault="00117962" w:rsidP="00117962">
      <w:pPr>
        <w:numPr>
          <w:ilvl w:val="0"/>
          <w:numId w:val="30"/>
        </w:numPr>
        <w:tabs>
          <w:tab w:val="left" w:pos="0"/>
        </w:tabs>
        <w:contextualSpacing/>
        <w:jc w:val="both"/>
        <w:outlineLvl w:val="0"/>
        <w:rPr>
          <w:rFonts w:ascii="Arial" w:hAnsi="Arial" w:cs="Arial"/>
          <w:color w:val="000000"/>
          <w:lang w:eastAsia="es-CR"/>
        </w:rPr>
      </w:pPr>
      <w:r w:rsidRPr="00117962">
        <w:rPr>
          <w:rFonts w:ascii="Arial" w:hAnsi="Arial" w:cs="Arial"/>
        </w:rPr>
        <w:t xml:space="preserve">En reunión No. 847-2019, realizada el 14 de noviembre de 2019, la Comisión de Planificación y Administración conoce el contenido del oficio </w:t>
      </w:r>
      <w:r w:rsidRPr="00117962">
        <w:rPr>
          <w:rFonts w:ascii="Arial" w:hAnsi="Arial" w:cs="Arial"/>
          <w:color w:val="000000" w:themeColor="text1"/>
          <w:lang w:eastAsia="es-CR"/>
        </w:rPr>
        <w:t xml:space="preserve">VAD-615-2019, mismo que además de ampliar en cuanto a las observaciones realizadas por la Auditoría Interna, referidas a la cantidad de personas incluidas en el contrato y las cargas de trabajo, se indica que al acto de adjudicación le “…aplica lo contemplado en la Ley de Contratación Administrativa y su Reglamento, Capítulo IX: Los Recursos y Capítulo VI Procedimientos de Contratación.” Por otra parte, el precio de la licitación en trámite se considera razonable, sustentado en: </w:t>
      </w:r>
    </w:p>
    <w:p w:rsidR="00117962" w:rsidRPr="00117962" w:rsidRDefault="00117962" w:rsidP="00117962">
      <w:pPr>
        <w:ind w:left="378"/>
        <w:jc w:val="both"/>
        <w:outlineLvl w:val="0"/>
        <w:rPr>
          <w:rFonts w:ascii="Arial" w:hAnsi="Arial" w:cs="Arial"/>
          <w:color w:val="000000" w:themeColor="text1"/>
          <w:lang w:eastAsia="es-CR"/>
        </w:rPr>
      </w:pPr>
    </w:p>
    <w:p w:rsidR="00117962" w:rsidRPr="00117962" w:rsidRDefault="00117962" w:rsidP="00117962">
      <w:pPr>
        <w:numPr>
          <w:ilvl w:val="0"/>
          <w:numId w:val="27"/>
        </w:numPr>
        <w:jc w:val="both"/>
        <w:outlineLvl w:val="0"/>
        <w:rPr>
          <w:rFonts w:ascii="Arial" w:hAnsi="Arial" w:cs="Arial"/>
          <w:color w:val="000000" w:themeColor="text1"/>
          <w:lang w:eastAsia="es-CR"/>
        </w:rPr>
      </w:pPr>
      <w:r w:rsidRPr="00117962">
        <w:rPr>
          <w:rFonts w:ascii="Arial" w:hAnsi="Arial" w:cs="Arial"/>
          <w:color w:val="000000" w:themeColor="text1"/>
          <w:lang w:eastAsia="es-CR"/>
        </w:rPr>
        <w:t xml:space="preserve">El precio ofertado representa ahorros para la Institución, respecto al monto pactado en el contrato actual, manteniendo la misma cantidad de personal: </w:t>
      </w:r>
    </w:p>
    <w:p w:rsidR="00117962" w:rsidRPr="00117962" w:rsidRDefault="00117962" w:rsidP="00117962">
      <w:pPr>
        <w:ind w:left="378"/>
        <w:jc w:val="both"/>
        <w:outlineLvl w:val="0"/>
        <w:rPr>
          <w:rFonts w:ascii="Arial" w:hAnsi="Arial" w:cs="Arial"/>
          <w:color w:val="000000" w:themeColor="text1"/>
          <w:lang w:eastAsia="es-CR"/>
        </w:rPr>
      </w:pPr>
    </w:p>
    <w:p w:rsidR="00117962" w:rsidRPr="00117962" w:rsidRDefault="00117962" w:rsidP="00117962">
      <w:pPr>
        <w:autoSpaceDE w:val="0"/>
        <w:autoSpaceDN w:val="0"/>
        <w:adjustRightInd w:val="0"/>
        <w:ind w:left="1098" w:right="423"/>
        <w:jc w:val="both"/>
        <w:rPr>
          <w:rFonts w:ascii="Arial" w:eastAsia="Arial" w:hAnsi="Arial" w:cs="Arial"/>
          <w:i/>
          <w:iCs/>
          <w:sz w:val="22"/>
          <w:szCs w:val="22"/>
          <w:lang w:val="es-CR"/>
        </w:rPr>
      </w:pPr>
      <w:r w:rsidRPr="00117962">
        <w:rPr>
          <w:rFonts w:ascii="Arial" w:eastAsia="Arial" w:hAnsi="Arial" w:cs="Arial"/>
          <w:i/>
          <w:iCs/>
          <w:sz w:val="22"/>
          <w:szCs w:val="22"/>
          <w:lang w:val="es-CR"/>
        </w:rPr>
        <w:t xml:space="preserve">“…la actual </w:t>
      </w:r>
      <w:r w:rsidRPr="00117962">
        <w:rPr>
          <w:rFonts w:ascii="Arial" w:hAnsi="Arial" w:cs="Arial"/>
          <w:i/>
          <w:color w:val="000000"/>
          <w:sz w:val="22"/>
          <w:szCs w:val="22"/>
          <w:lang w:val="es-CR" w:eastAsia="es-CR"/>
        </w:rPr>
        <w:t>licitación</w:t>
      </w:r>
      <w:r w:rsidRPr="00117962">
        <w:rPr>
          <w:rFonts w:ascii="Arial" w:eastAsia="Arial" w:hAnsi="Arial" w:cs="Arial"/>
          <w:i/>
          <w:iCs/>
          <w:sz w:val="22"/>
          <w:szCs w:val="22"/>
          <w:lang w:val="es-CR"/>
        </w:rPr>
        <w:t xml:space="preserve"> pública 2015LN-000002 de servicio preventivo y correctivo general Sede San Carlos se paga el monto de ₵12,433,143.31, con 17 colaboradores, mientras que la Licitación Pública Núm. 2019LN-000002-APITCR </w:t>
      </w:r>
      <w:r w:rsidRPr="00117962">
        <w:rPr>
          <w:rFonts w:ascii="Arial" w:eastAsia="Arial" w:hAnsi="Arial" w:cs="Arial"/>
          <w:iCs/>
          <w:sz w:val="22"/>
          <w:szCs w:val="22"/>
          <w:lang w:val="es-CR"/>
        </w:rPr>
        <w:t>[…]</w:t>
      </w:r>
      <w:r w:rsidRPr="00117962">
        <w:rPr>
          <w:rFonts w:ascii="Arial" w:eastAsia="Arial" w:hAnsi="Arial" w:cs="Arial"/>
          <w:i/>
          <w:iCs/>
          <w:sz w:val="22"/>
          <w:szCs w:val="22"/>
          <w:lang w:val="es-CR"/>
        </w:rPr>
        <w:t xml:space="preserve"> con los mismos 17 colaboradores se ofrece un precio menor ₡12,148,748.34 lo cual se refleja en un ahorro de ₡284,394.97 mensual y ₡3,412,739.64 anual…”</w:t>
      </w:r>
    </w:p>
    <w:p w:rsidR="00117962" w:rsidRPr="00117962" w:rsidRDefault="00117962" w:rsidP="00117962">
      <w:pPr>
        <w:autoSpaceDE w:val="0"/>
        <w:autoSpaceDN w:val="0"/>
        <w:adjustRightInd w:val="0"/>
        <w:ind w:left="1098" w:right="423"/>
        <w:jc w:val="both"/>
        <w:rPr>
          <w:rFonts w:ascii="Arial" w:eastAsia="Arial" w:hAnsi="Arial" w:cs="Arial"/>
          <w:i/>
          <w:iCs/>
          <w:sz w:val="22"/>
          <w:szCs w:val="22"/>
          <w:lang w:val="es-CR"/>
        </w:rPr>
      </w:pPr>
    </w:p>
    <w:p w:rsidR="00117962" w:rsidRPr="00117962" w:rsidRDefault="00117962" w:rsidP="00117962">
      <w:pPr>
        <w:numPr>
          <w:ilvl w:val="0"/>
          <w:numId w:val="27"/>
        </w:numPr>
        <w:jc w:val="both"/>
        <w:outlineLvl w:val="0"/>
        <w:rPr>
          <w:rFonts w:ascii="Arial" w:hAnsi="Arial" w:cs="Arial"/>
          <w:color w:val="000000" w:themeColor="text1"/>
          <w:lang w:eastAsia="es-CR"/>
        </w:rPr>
      </w:pPr>
      <w:r w:rsidRPr="00117962">
        <w:rPr>
          <w:rFonts w:ascii="Arial" w:hAnsi="Arial" w:cs="Arial"/>
          <w:color w:val="000000" w:themeColor="text1"/>
          <w:lang w:eastAsia="es-CR"/>
        </w:rPr>
        <w:t>El precio ofertado es menor comparado con las tres ofertas recibidas para el año 2015, donde la cantidad de edificios que tenía el Campus era menor:</w:t>
      </w:r>
    </w:p>
    <w:p w:rsidR="00117962" w:rsidRPr="00117962" w:rsidRDefault="00117962" w:rsidP="00117962">
      <w:pPr>
        <w:ind w:left="720"/>
        <w:jc w:val="both"/>
        <w:outlineLvl w:val="0"/>
        <w:rPr>
          <w:rFonts w:ascii="Arial" w:eastAsia="Arial" w:hAnsi="Arial" w:cs="Arial"/>
          <w:i/>
          <w:iCs/>
          <w:sz w:val="22"/>
          <w:szCs w:val="22"/>
          <w:lang w:val="es-CR"/>
        </w:rPr>
      </w:pPr>
    </w:p>
    <w:p w:rsidR="00117962" w:rsidRPr="00117962" w:rsidRDefault="00117962" w:rsidP="00117962">
      <w:pPr>
        <w:autoSpaceDE w:val="0"/>
        <w:autoSpaceDN w:val="0"/>
        <w:adjustRightInd w:val="0"/>
        <w:ind w:left="1098" w:right="423"/>
        <w:jc w:val="both"/>
        <w:rPr>
          <w:rFonts w:ascii="Arial" w:eastAsia="Arial" w:hAnsi="Arial" w:cs="Arial"/>
          <w:i/>
          <w:iCs/>
          <w:sz w:val="22"/>
          <w:szCs w:val="22"/>
          <w:lang w:val="es-CR"/>
        </w:rPr>
      </w:pPr>
      <w:r w:rsidRPr="00117962">
        <w:rPr>
          <w:rFonts w:ascii="Arial" w:eastAsia="Arial" w:hAnsi="Arial" w:cs="Arial"/>
          <w:i/>
          <w:iCs/>
          <w:sz w:val="22"/>
          <w:szCs w:val="22"/>
          <w:lang w:val="es-CR"/>
        </w:rPr>
        <w:t xml:space="preserve">“…Como referencia también se puede destacar que para el año 2015 se recibieron 3 ofertas cuyos precios fueron: Por tanto, el precio ofertado para el año 2019 se considera razonable, considerando que en el proceso licitatorio 2015 no estaban incluidos los edificios de Producción Industrial y Electrónica, </w:t>
      </w:r>
      <w:proofErr w:type="spellStart"/>
      <w:r w:rsidRPr="00117962">
        <w:rPr>
          <w:rFonts w:ascii="Arial" w:eastAsia="Arial" w:hAnsi="Arial" w:cs="Arial"/>
          <w:i/>
          <w:iCs/>
          <w:sz w:val="22"/>
          <w:szCs w:val="22"/>
          <w:lang w:val="es-CR"/>
        </w:rPr>
        <w:t>Protec</w:t>
      </w:r>
      <w:proofErr w:type="spellEnd"/>
      <w:r w:rsidRPr="00117962">
        <w:rPr>
          <w:rFonts w:ascii="Arial" w:eastAsia="Arial" w:hAnsi="Arial" w:cs="Arial"/>
          <w:i/>
          <w:iCs/>
          <w:sz w:val="22"/>
          <w:szCs w:val="22"/>
          <w:lang w:val="es-CR"/>
        </w:rPr>
        <w:t xml:space="preserve"> y </w:t>
      </w:r>
      <w:proofErr w:type="spellStart"/>
      <w:r w:rsidRPr="00117962">
        <w:rPr>
          <w:rFonts w:ascii="Arial" w:eastAsia="Arial" w:hAnsi="Arial" w:cs="Arial"/>
          <w:i/>
          <w:iCs/>
          <w:sz w:val="22"/>
          <w:szCs w:val="22"/>
          <w:lang w:val="es-CR"/>
        </w:rPr>
        <w:t>Biotec</w:t>
      </w:r>
      <w:proofErr w:type="spellEnd"/>
      <w:r w:rsidRPr="00117962">
        <w:rPr>
          <w:rFonts w:ascii="Arial" w:eastAsia="Arial" w:hAnsi="Arial" w:cs="Arial"/>
          <w:i/>
          <w:iCs/>
          <w:sz w:val="22"/>
          <w:szCs w:val="22"/>
          <w:lang w:val="es-CR"/>
        </w:rPr>
        <w:t>, Escuela de Idiomas y Ciencias Sociales, el edificio de Culturales...”</w:t>
      </w:r>
    </w:p>
    <w:p w:rsidR="00117962" w:rsidRPr="00117962" w:rsidRDefault="00117962" w:rsidP="00117962">
      <w:pPr>
        <w:autoSpaceDE w:val="0"/>
        <w:autoSpaceDN w:val="0"/>
        <w:adjustRightInd w:val="0"/>
        <w:ind w:left="1098" w:right="423"/>
        <w:jc w:val="both"/>
        <w:rPr>
          <w:rFonts w:ascii="Arial" w:eastAsia="Arial" w:hAnsi="Arial" w:cs="Arial"/>
          <w:i/>
          <w:iCs/>
          <w:sz w:val="22"/>
          <w:szCs w:val="22"/>
          <w:lang w:val="es-CR"/>
        </w:rPr>
      </w:pPr>
    </w:p>
    <w:p w:rsidR="00117962" w:rsidRPr="00117962" w:rsidRDefault="00117962" w:rsidP="00117962">
      <w:pPr>
        <w:numPr>
          <w:ilvl w:val="0"/>
          <w:numId w:val="27"/>
        </w:numPr>
        <w:jc w:val="both"/>
        <w:outlineLvl w:val="0"/>
        <w:rPr>
          <w:rFonts w:ascii="Arial" w:eastAsia="Arial" w:hAnsi="Arial" w:cs="Arial"/>
          <w:iCs/>
          <w:lang w:val="es-CR"/>
        </w:rPr>
      </w:pPr>
      <w:r w:rsidRPr="00117962">
        <w:rPr>
          <w:rFonts w:ascii="Arial" w:eastAsia="Arial" w:hAnsi="Arial" w:cs="Arial"/>
          <w:iCs/>
          <w:lang w:val="es-CR"/>
        </w:rPr>
        <w:t>El precio ofertado no representa menoscabo de las condicionales laborales:</w:t>
      </w:r>
    </w:p>
    <w:p w:rsidR="00117962" w:rsidRPr="00117962" w:rsidRDefault="00117962" w:rsidP="00117962">
      <w:pPr>
        <w:ind w:left="720"/>
        <w:jc w:val="both"/>
        <w:outlineLvl w:val="0"/>
        <w:rPr>
          <w:rFonts w:ascii="Arial" w:eastAsia="Arial" w:hAnsi="Arial" w:cs="Arial"/>
          <w:i/>
          <w:iCs/>
          <w:sz w:val="22"/>
          <w:szCs w:val="22"/>
          <w:lang w:val="es-CR"/>
        </w:rPr>
      </w:pPr>
      <w:r w:rsidRPr="00117962">
        <w:rPr>
          <w:rFonts w:ascii="Arial" w:eastAsia="Arial" w:hAnsi="Arial" w:cs="Arial"/>
          <w:i/>
          <w:iCs/>
          <w:sz w:val="22"/>
          <w:szCs w:val="22"/>
          <w:lang w:val="es-CR"/>
        </w:rPr>
        <w:t xml:space="preserve"> </w:t>
      </w:r>
    </w:p>
    <w:p w:rsidR="00117962" w:rsidRPr="00117962" w:rsidRDefault="00117962" w:rsidP="00117962">
      <w:pPr>
        <w:autoSpaceDE w:val="0"/>
        <w:autoSpaceDN w:val="0"/>
        <w:adjustRightInd w:val="0"/>
        <w:ind w:left="1098" w:right="423"/>
        <w:jc w:val="both"/>
        <w:rPr>
          <w:rFonts w:ascii="Arial" w:eastAsia="Arial" w:hAnsi="Arial" w:cs="Arial"/>
          <w:i/>
          <w:iCs/>
          <w:sz w:val="22"/>
          <w:szCs w:val="22"/>
          <w:lang w:val="es-CR"/>
        </w:rPr>
      </w:pPr>
      <w:r w:rsidRPr="00117962">
        <w:rPr>
          <w:rFonts w:ascii="Arial" w:eastAsia="Arial" w:hAnsi="Arial" w:cs="Arial"/>
          <w:i/>
          <w:iCs/>
          <w:sz w:val="22"/>
          <w:szCs w:val="22"/>
          <w:lang w:val="es-CR"/>
        </w:rPr>
        <w:t xml:space="preserve"> “…esta unidad técnica corroboró el cumplimiento de la cobertura de las obligaciones obrero-patronales, por tanto, la disminución indicada no va en detrimento de las condiciones laborales…”</w:t>
      </w:r>
    </w:p>
    <w:p w:rsidR="00117962" w:rsidRPr="00117962" w:rsidRDefault="00117962" w:rsidP="00117962">
      <w:pPr>
        <w:tabs>
          <w:tab w:val="center" w:pos="4986"/>
        </w:tabs>
        <w:ind w:left="720"/>
        <w:contextualSpacing/>
        <w:jc w:val="both"/>
        <w:outlineLvl w:val="0"/>
        <w:rPr>
          <w:rFonts w:ascii="Arial" w:hAnsi="Arial" w:cs="Arial"/>
          <w:iCs/>
        </w:rPr>
      </w:pPr>
    </w:p>
    <w:p w:rsidR="00117962" w:rsidRPr="00117962" w:rsidRDefault="00117962" w:rsidP="00117962">
      <w:pPr>
        <w:numPr>
          <w:ilvl w:val="0"/>
          <w:numId w:val="30"/>
        </w:numPr>
        <w:tabs>
          <w:tab w:val="left" w:pos="0"/>
        </w:tabs>
        <w:contextualSpacing/>
        <w:jc w:val="both"/>
        <w:outlineLvl w:val="0"/>
        <w:rPr>
          <w:rFonts w:ascii="Arial" w:hAnsi="Arial" w:cs="Arial"/>
          <w:bCs/>
        </w:rPr>
      </w:pPr>
      <w:r w:rsidRPr="00117962">
        <w:rPr>
          <w:rFonts w:ascii="Arial" w:hAnsi="Arial" w:cs="Arial"/>
        </w:rPr>
        <w:t xml:space="preserve">Vistos los criterios anteriores, la Comisión de Planificación y Administración dictamina conveniente la recomendación de adjudicación de </w:t>
      </w:r>
      <w:r w:rsidRPr="00117962">
        <w:rPr>
          <w:rFonts w:ascii="Arial" w:hAnsi="Arial" w:cs="Arial"/>
          <w:bCs/>
        </w:rPr>
        <w:t xml:space="preserve">la </w:t>
      </w:r>
      <w:r w:rsidRPr="00117962">
        <w:rPr>
          <w:rFonts w:ascii="Arial" w:hAnsi="Arial" w:cs="Arial"/>
        </w:rPr>
        <w:t xml:space="preserve">Licitación Pública No. 2019LN-000002-APITCR, que se presenta en el Informe de Adjudicación. </w:t>
      </w:r>
    </w:p>
    <w:p w:rsidR="00117962" w:rsidRPr="00117962" w:rsidRDefault="00117962" w:rsidP="00117962">
      <w:pPr>
        <w:tabs>
          <w:tab w:val="left" w:pos="180"/>
          <w:tab w:val="left" w:pos="2520"/>
          <w:tab w:val="left" w:pos="5640"/>
          <w:tab w:val="left" w:pos="5940"/>
        </w:tabs>
        <w:ind w:right="-801"/>
        <w:rPr>
          <w:rFonts w:ascii="Arial" w:eastAsia="SimSun" w:hAnsi="Arial" w:cs="Arial"/>
          <w:b/>
          <w:sz w:val="16"/>
          <w:szCs w:val="16"/>
        </w:rPr>
      </w:pPr>
    </w:p>
    <w:p w:rsidR="00117962" w:rsidRPr="00117962" w:rsidRDefault="00117962" w:rsidP="00117962">
      <w:pPr>
        <w:autoSpaceDE w:val="0"/>
        <w:autoSpaceDN w:val="0"/>
        <w:adjustRightInd w:val="0"/>
        <w:jc w:val="both"/>
        <w:rPr>
          <w:rFonts w:ascii="Arial" w:hAnsi="Arial" w:cs="Arial"/>
          <w:b/>
          <w:bCs/>
          <w:lang w:val="es-CR" w:eastAsia="es-CR"/>
        </w:rPr>
      </w:pPr>
      <w:r w:rsidRPr="00117962">
        <w:rPr>
          <w:rFonts w:ascii="Arial" w:hAnsi="Arial" w:cs="Arial"/>
          <w:b/>
          <w:bCs/>
          <w:lang w:val="es-CR" w:eastAsia="es-CR"/>
        </w:rPr>
        <w:t>SE</w:t>
      </w:r>
      <w:r>
        <w:rPr>
          <w:rFonts w:ascii="Arial" w:hAnsi="Arial" w:cs="Arial"/>
          <w:b/>
          <w:bCs/>
          <w:lang w:val="es-CR" w:eastAsia="es-CR"/>
        </w:rPr>
        <w:t xml:space="preserve"> ACUERDA</w:t>
      </w:r>
      <w:r w:rsidRPr="00117962">
        <w:rPr>
          <w:rFonts w:ascii="Arial" w:hAnsi="Arial" w:cs="Arial"/>
          <w:b/>
          <w:bCs/>
          <w:lang w:val="es-CR" w:eastAsia="es-CR"/>
        </w:rPr>
        <w:t>:</w:t>
      </w:r>
    </w:p>
    <w:p w:rsidR="00117962" w:rsidRPr="00117962" w:rsidRDefault="00117962" w:rsidP="00117962">
      <w:pPr>
        <w:jc w:val="both"/>
        <w:rPr>
          <w:rFonts w:ascii="Arial" w:hAnsi="Arial" w:cs="Arial"/>
          <w:bCs/>
          <w:sz w:val="16"/>
          <w:szCs w:val="16"/>
        </w:rPr>
      </w:pPr>
    </w:p>
    <w:p w:rsidR="00117962" w:rsidRPr="00117962" w:rsidRDefault="00117962" w:rsidP="00117962">
      <w:pPr>
        <w:numPr>
          <w:ilvl w:val="0"/>
          <w:numId w:val="19"/>
        </w:numPr>
        <w:jc w:val="both"/>
        <w:rPr>
          <w:rFonts w:ascii="Arial" w:eastAsia="SimSun" w:hAnsi="Arial" w:cs="Arial"/>
          <w:bCs/>
          <w:i/>
          <w:iCs/>
          <w:sz w:val="22"/>
          <w:szCs w:val="22"/>
          <w:lang w:val="es-CR"/>
        </w:rPr>
      </w:pPr>
      <w:r w:rsidRPr="00117962">
        <w:rPr>
          <w:rFonts w:ascii="Arial" w:eastAsia="Calibri" w:hAnsi="Arial" w:cs="Arial"/>
          <w:iCs/>
          <w:lang w:val="es-ES_tradnl"/>
        </w:rPr>
        <w:t xml:space="preserve">Adjudicar </w:t>
      </w:r>
      <w:r w:rsidRPr="00117962">
        <w:rPr>
          <w:rFonts w:ascii="Arial" w:hAnsi="Arial" w:cs="Arial"/>
          <w:bCs/>
        </w:rPr>
        <w:t xml:space="preserve">la </w:t>
      </w:r>
      <w:r w:rsidRPr="00117962">
        <w:rPr>
          <w:rFonts w:ascii="Arial" w:hAnsi="Arial" w:cs="Arial"/>
        </w:rPr>
        <w:t>Licitación Pública No. 2019LN-000002-APITCR “Servicio de Mantenimiento Preventivo y Correctivo General del Campus Tecnológico Local San Carlos”</w:t>
      </w:r>
      <w:r w:rsidRPr="00117962">
        <w:rPr>
          <w:rFonts w:ascii="Arial" w:hAnsi="Arial" w:cs="Arial"/>
          <w:bCs/>
        </w:rPr>
        <w:t xml:space="preserve">, a la empresa </w:t>
      </w:r>
      <w:r w:rsidRPr="00117962">
        <w:rPr>
          <w:rFonts w:ascii="Arial" w:hAnsi="Arial" w:cs="Arial"/>
          <w:b/>
        </w:rPr>
        <w:t>Compañía de Servicios Técnicos R&amp;S S.A.</w:t>
      </w:r>
      <w:r w:rsidRPr="00117962">
        <w:rPr>
          <w:rFonts w:ascii="Arial" w:hAnsi="Arial" w:cs="Arial"/>
        </w:rPr>
        <w:t xml:space="preserve"> </w:t>
      </w:r>
      <w:r w:rsidRPr="00117962">
        <w:rPr>
          <w:rFonts w:ascii="Arial" w:hAnsi="Arial" w:cs="Arial"/>
          <w:b/>
        </w:rPr>
        <w:t xml:space="preserve">Cédula </w:t>
      </w:r>
      <w:r w:rsidRPr="00117962">
        <w:rPr>
          <w:rFonts w:ascii="Arial" w:hAnsi="Arial" w:cs="Arial"/>
          <w:b/>
          <w:bCs/>
        </w:rPr>
        <w:t>Jurídica 3-101-059070</w:t>
      </w:r>
      <w:r w:rsidRPr="00117962">
        <w:rPr>
          <w:rFonts w:ascii="Arial" w:hAnsi="Arial" w:cs="Arial"/>
          <w:bCs/>
        </w:rPr>
        <w:t>, por un monto mensual del servicio de ¢12,148,748.34, en razón de que la oferta se ajusta a lo solicitado en el Cartel de la Licitación, por el plazo de un año, prorrogable por tres periodos iguales hasta un máximo de 4 años conforme las condiciones pre definidas.</w:t>
      </w:r>
    </w:p>
    <w:p w:rsidR="00117962" w:rsidRDefault="00117962" w:rsidP="00117962">
      <w:pPr>
        <w:ind w:left="360"/>
        <w:jc w:val="both"/>
        <w:rPr>
          <w:rFonts w:ascii="Arial" w:hAnsi="Arial" w:cs="Arial"/>
          <w:bCs/>
        </w:rPr>
      </w:pPr>
    </w:p>
    <w:p w:rsidR="00643F55" w:rsidRDefault="00643F55" w:rsidP="00117962">
      <w:pPr>
        <w:ind w:left="360"/>
        <w:jc w:val="both"/>
        <w:rPr>
          <w:rFonts w:ascii="Arial" w:hAnsi="Arial" w:cs="Arial"/>
          <w:bCs/>
        </w:rPr>
      </w:pPr>
    </w:p>
    <w:p w:rsidR="00643F55" w:rsidRDefault="00643F55" w:rsidP="00117962">
      <w:pPr>
        <w:ind w:left="360"/>
        <w:jc w:val="both"/>
        <w:rPr>
          <w:rFonts w:ascii="Arial" w:hAnsi="Arial" w:cs="Arial"/>
          <w:bCs/>
        </w:rPr>
      </w:pPr>
    </w:p>
    <w:p w:rsidR="00643F55" w:rsidRPr="00117962" w:rsidRDefault="00643F55" w:rsidP="00117962">
      <w:pPr>
        <w:ind w:left="360"/>
        <w:jc w:val="both"/>
        <w:rPr>
          <w:rFonts w:ascii="Arial" w:hAnsi="Arial" w:cs="Arial"/>
          <w:bCs/>
        </w:rPr>
      </w:pPr>
      <w:bookmarkStart w:id="10" w:name="_GoBack"/>
      <w:bookmarkEnd w:id="10"/>
    </w:p>
    <w:p w:rsidR="00117962" w:rsidRPr="00117962" w:rsidRDefault="00117962" w:rsidP="00117962">
      <w:pPr>
        <w:numPr>
          <w:ilvl w:val="0"/>
          <w:numId w:val="19"/>
        </w:numPr>
        <w:jc w:val="both"/>
        <w:rPr>
          <w:rFonts w:ascii="Arial" w:hAnsi="Arial" w:cs="Arial"/>
          <w:bCs/>
        </w:rPr>
      </w:pPr>
      <w:r w:rsidRPr="00117962">
        <w:rPr>
          <w:rFonts w:ascii="Arial" w:hAnsi="Arial" w:cs="Arial"/>
          <w:bCs/>
        </w:rPr>
        <w:t>Indicar que, de conformidad con el artículo 84 de la Ley de Contratación Administrativa, podrá interponerse recurso de apelación contra este acto, ante la Contraloría General de la República, dentro de los diez días hábiles siguientes a su notificación.</w:t>
      </w:r>
    </w:p>
    <w:p w:rsidR="008018AD" w:rsidRDefault="008018AD" w:rsidP="007742A1">
      <w:pPr>
        <w:jc w:val="both"/>
        <w:rPr>
          <w:rFonts w:ascii="Arial" w:eastAsia="Cambria" w:hAnsi="Arial" w:cs="Arial"/>
          <w:lang w:val="es-ES_tradnl" w:eastAsia="en-US"/>
        </w:rPr>
      </w:pPr>
    </w:p>
    <w:p w:rsidR="005D6078" w:rsidRPr="00195B12" w:rsidRDefault="000E564F" w:rsidP="00117962">
      <w:pPr>
        <w:numPr>
          <w:ilvl w:val="0"/>
          <w:numId w:val="19"/>
        </w:numPr>
        <w:jc w:val="both"/>
        <w:rPr>
          <w:rFonts w:ascii="Arial" w:hAnsi="Arial" w:cs="Arial"/>
        </w:rPr>
      </w:pPr>
      <w:r w:rsidRPr="000E564F">
        <w:rPr>
          <w:rFonts w:ascii="Arial" w:hAnsi="Arial" w:cs="Arial"/>
          <w:lang w:val="es-CR"/>
        </w:rPr>
        <w:t>Comunicar.</w:t>
      </w:r>
      <w:r>
        <w:rPr>
          <w:rFonts w:ascii="Arial" w:hAnsi="Arial" w:cs="Arial"/>
          <w:b/>
          <w:lang w:val="es-CR"/>
        </w:rPr>
        <w:t xml:space="preserve">  </w:t>
      </w:r>
      <w:r w:rsidR="00917157" w:rsidRPr="000E564F">
        <w:rPr>
          <w:rFonts w:ascii="Arial" w:hAnsi="Arial" w:cs="Arial"/>
          <w:b/>
          <w:lang w:val="es-CR"/>
        </w:rPr>
        <w:t>ACUERDO FIRME.</w:t>
      </w:r>
    </w:p>
    <w:p w:rsidR="008018AD" w:rsidRDefault="008018AD" w:rsidP="00762612">
      <w:pPr>
        <w:jc w:val="both"/>
        <w:rPr>
          <w:rFonts w:ascii="Arial" w:hAnsi="Arial" w:cs="Arial"/>
          <w:b/>
          <w:lang w:val="es-CR"/>
        </w:rPr>
      </w:pPr>
    </w:p>
    <w:p w:rsidR="00117962" w:rsidRDefault="00117962" w:rsidP="00762612">
      <w:pPr>
        <w:jc w:val="both"/>
        <w:rPr>
          <w:rFonts w:ascii="Arial" w:hAnsi="Arial" w:cs="Arial"/>
          <w:b/>
          <w:lang w:val="es-CR"/>
        </w:rPr>
      </w:pPr>
    </w:p>
    <w:p w:rsidR="00117962" w:rsidRPr="00117962" w:rsidRDefault="00117962" w:rsidP="00117962">
      <w:pPr>
        <w:rPr>
          <w:rFonts w:ascii="Arial" w:eastAsia="Calibri" w:hAnsi="Arial" w:cs="Arial"/>
          <w:b/>
          <w:iCs/>
          <w:sz w:val="20"/>
          <w:szCs w:val="20"/>
          <w:lang w:val="es-ES_tradnl"/>
        </w:rPr>
      </w:pPr>
      <w:r w:rsidRPr="00117962">
        <w:rPr>
          <w:rFonts w:ascii="Arial" w:eastAsia="Calibri" w:hAnsi="Arial" w:cs="Arial"/>
          <w:b/>
          <w:iCs/>
          <w:sz w:val="20"/>
          <w:szCs w:val="20"/>
          <w:lang w:val="es-ES_tradnl"/>
        </w:rPr>
        <w:t>Palabras clave:  Adjudicación- Licitación - N° 2019LN-000001-APITCR – Servicio – Mantenimiento – Preventivo - Campus – Local – San Carlos</w:t>
      </w:r>
    </w:p>
    <w:p w:rsidR="00117962" w:rsidRPr="00117962" w:rsidRDefault="00117962" w:rsidP="00117962">
      <w:pPr>
        <w:jc w:val="both"/>
        <w:rPr>
          <w:rFonts w:ascii="Arial" w:hAnsi="Arial" w:cs="Arial"/>
          <w:b/>
          <w:sz w:val="22"/>
          <w:szCs w:val="22"/>
          <w:lang w:val="es-ES_tradnl"/>
        </w:rPr>
      </w:pPr>
    </w:p>
    <w:p w:rsidR="00117962" w:rsidRDefault="00117962" w:rsidP="00117962">
      <w:pPr>
        <w:jc w:val="both"/>
        <w:rPr>
          <w:rFonts w:ascii="Arial" w:eastAsia="Cambria" w:hAnsi="Arial" w:cs="Arial"/>
          <w:lang w:val="es-ES_tradnl" w:eastAsia="en-US"/>
        </w:rPr>
      </w:pPr>
    </w:p>
    <w:p w:rsidR="00B12317" w:rsidRPr="00117962" w:rsidRDefault="00B12317" w:rsidP="00195B12">
      <w:pPr>
        <w:autoSpaceDE w:val="0"/>
        <w:autoSpaceDN w:val="0"/>
        <w:adjustRightInd w:val="0"/>
        <w:jc w:val="both"/>
        <w:rPr>
          <w:rFonts w:ascii="Arial" w:hAnsi="Arial" w:cs="Arial"/>
          <w:b/>
          <w:sz w:val="20"/>
          <w:szCs w:val="20"/>
          <w:lang w:val="es-ES_tradnl"/>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4E64EF">
        <w:trPr>
          <w:trHeight w:val="183"/>
        </w:trPr>
        <w:tc>
          <w:tcPr>
            <w:tcW w:w="4361" w:type="dxa"/>
          </w:tcPr>
          <w:p w:rsidR="00F4695B" w:rsidRPr="00474B22" w:rsidRDefault="00F4695B" w:rsidP="004E64EF">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tcPr>
          <w:p w:rsidR="00CE7F7E" w:rsidRPr="00474B22" w:rsidRDefault="00CE7F7E" w:rsidP="008D187C">
            <w:pPr>
              <w:jc w:val="both"/>
              <w:rPr>
                <w:rFonts w:ascii="Arial" w:eastAsia="Cambria" w:hAnsi="Arial" w:cs="Arial"/>
                <w:b/>
                <w:sz w:val="16"/>
                <w:szCs w:val="16"/>
                <w:lang w:val="es-ES_tradnl" w:eastAsia="en-US"/>
              </w:rPr>
            </w:pPr>
          </w:p>
        </w:tc>
      </w:tr>
    </w:tbl>
    <w:p w:rsidR="000077CC" w:rsidRDefault="00EB0F82" w:rsidP="001E3F3C">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D92722" w:rsidRPr="00B12317" w:rsidRDefault="00D92722" w:rsidP="00892EAF">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2477F3" w:rsidRPr="003E5181" w:rsidRDefault="00B12317" w:rsidP="003E5181">
      <w:pPr>
        <w:ind w:left="284"/>
        <w:jc w:val="both"/>
        <w:rPr>
          <w:rFonts w:ascii="Arial" w:hAnsi="Arial" w:cs="Arial"/>
          <w:b/>
          <w:sz w:val="16"/>
          <w:szCs w:val="16"/>
          <w:lang w:val="es-CR"/>
        </w:rPr>
      </w:pPr>
      <w:r>
        <w:rPr>
          <w:rFonts w:ascii="Arial" w:hAnsi="Arial" w:cs="Arial"/>
          <w:sz w:val="16"/>
          <w:szCs w:val="16"/>
          <w:lang w:val="es-ES_tradnl"/>
        </w:rPr>
        <w:t xml:space="preserve"> </w:t>
      </w:r>
    </w:p>
    <w:p w:rsidR="002C0D34" w:rsidRPr="003E5181" w:rsidRDefault="00F41044" w:rsidP="003E5181">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ED72F3" w:rsidRDefault="00ED72F3" w:rsidP="00C6045C">
      <w:pPr>
        <w:ind w:left="851"/>
        <w:jc w:val="both"/>
        <w:rPr>
          <w:rFonts w:ascii="Arial" w:eastAsia="Cambria" w:hAnsi="Arial" w:cs="Arial"/>
          <w:sz w:val="22"/>
          <w:szCs w:val="22"/>
          <w:lang w:val="es-CR" w:eastAsia="en-US"/>
        </w:rPr>
      </w:pPr>
    </w:p>
    <w:sectPr w:rsidR="00ED72F3"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2E9" w:rsidRDefault="00B202E9">
      <w:r>
        <w:separator/>
      </w:r>
    </w:p>
  </w:endnote>
  <w:endnote w:type="continuationSeparator" w:id="0">
    <w:p w:rsidR="00B202E9" w:rsidRDefault="00B2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2E9" w:rsidRDefault="00B202E9">
      <w:r>
        <w:separator/>
      </w:r>
    </w:p>
  </w:footnote>
  <w:footnote w:type="continuationSeparator" w:id="0">
    <w:p w:rsidR="00B202E9" w:rsidRDefault="00B20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792DCA"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9C099B">
      <w:rPr>
        <w:rFonts w:ascii="Arial" w:eastAsia="Cambria" w:hAnsi="Arial" w:cs="Arial"/>
        <w:i/>
        <w:sz w:val="18"/>
        <w:szCs w:val="18"/>
        <w:lang w:val="es-ES_tradnl" w:eastAsia="x-none"/>
      </w:rPr>
      <w:t>4</w:t>
    </w:r>
    <w:r w:rsidR="00CA064E">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CA064E">
      <w:rPr>
        <w:rFonts w:ascii="Arial" w:eastAsia="Cambria" w:hAnsi="Arial" w:cs="Arial"/>
        <w:i/>
        <w:sz w:val="18"/>
        <w:szCs w:val="18"/>
        <w:lang w:val="es-ES_tradnl" w:eastAsia="x-none"/>
      </w:rPr>
      <w:t>8</w:t>
    </w:r>
    <w:r w:rsidR="00476CE1">
      <w:rPr>
        <w:rFonts w:ascii="Arial" w:eastAsia="Cambria" w:hAnsi="Arial" w:cs="Arial"/>
        <w:i/>
        <w:sz w:val="18"/>
        <w:szCs w:val="18"/>
        <w:lang w:val="es-ES_tradnl" w:eastAsia="x-none"/>
      </w:rPr>
      <w:t>,</w:t>
    </w:r>
    <w:r w:rsidR="002F6AF8">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 xml:space="preserve">del </w:t>
    </w:r>
    <w:r w:rsidR="00CA064E">
      <w:rPr>
        <w:rFonts w:ascii="Arial" w:eastAsia="Cambria" w:hAnsi="Arial" w:cs="Arial"/>
        <w:i/>
        <w:sz w:val="18"/>
        <w:szCs w:val="18"/>
        <w:lang w:val="es-ES_tradnl" w:eastAsia="x-none"/>
      </w:rPr>
      <w:t>20</w:t>
    </w:r>
    <w:r w:rsidR="00792DCA">
      <w:rPr>
        <w:rFonts w:ascii="Arial" w:eastAsia="Cambria" w:hAnsi="Arial" w:cs="Arial"/>
        <w:i/>
        <w:sz w:val="18"/>
        <w:szCs w:val="18"/>
        <w:lang w:val="es-ES_tradnl" w:eastAsia="x-none"/>
      </w:rPr>
      <w:t xml:space="preserve"> de noviembre de 2019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643F55">
      <w:rPr>
        <w:rFonts w:ascii="Arial" w:eastAsia="Cambria" w:hAnsi="Arial" w:cs="Arial"/>
        <w:i/>
        <w:noProof/>
        <w:sz w:val="18"/>
        <w:szCs w:val="18"/>
        <w:lang w:val="es-ES_tradnl" w:eastAsia="x-none"/>
      </w:rPr>
      <w:t>8</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47421C"/>
    <w:multiLevelType w:val="hybridMultilevel"/>
    <w:tmpl w:val="485C838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F300B4"/>
    <w:multiLevelType w:val="hybridMultilevel"/>
    <w:tmpl w:val="C42C7C6E"/>
    <w:lvl w:ilvl="0" w:tplc="58D689C6">
      <w:start w:val="1"/>
      <w:numFmt w:val="lowerLetter"/>
      <w:lvlText w:val="%1."/>
      <w:lvlJc w:val="left"/>
      <w:pPr>
        <w:ind w:left="644" w:hanging="360"/>
      </w:pPr>
      <w:rPr>
        <w:rFonts w:hint="default"/>
        <w:b/>
        <w:sz w:val="24"/>
        <w:szCs w:val="24"/>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4" w15:restartNumberingAfterBreak="0">
    <w:nsid w:val="095543A4"/>
    <w:multiLevelType w:val="hybridMultilevel"/>
    <w:tmpl w:val="36C45368"/>
    <w:lvl w:ilvl="0" w:tplc="0C02E344">
      <w:start w:val="1"/>
      <w:numFmt w:val="decimal"/>
      <w:lvlText w:val="%1."/>
      <w:lvlJc w:val="left"/>
      <w:pPr>
        <w:tabs>
          <w:tab w:val="num" w:pos="840"/>
        </w:tabs>
        <w:ind w:left="840" w:hanging="360"/>
      </w:pPr>
      <w:rPr>
        <w:rFonts w:hint="default"/>
        <w:strike w:val="0"/>
        <w:dstrike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24B47D36">
      <w:start w:val="1"/>
      <w:numFmt w:val="decimal"/>
      <w:lvlText w:val="%2."/>
      <w:lvlJc w:val="left"/>
      <w:pPr>
        <w:tabs>
          <w:tab w:val="num" w:pos="360"/>
        </w:tabs>
        <w:ind w:left="360" w:hanging="360"/>
      </w:pPr>
      <w:rPr>
        <w:rFonts w:ascii="Arial" w:hAnsi="Arial" w:hint="default"/>
        <w:b/>
        <w:i w:val="0"/>
        <w:sz w:val="24"/>
      </w:rPr>
    </w:lvl>
    <w:lvl w:ilvl="2" w:tplc="24D8BF6C">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C05246"/>
    <w:multiLevelType w:val="hybridMultilevel"/>
    <w:tmpl w:val="F96A152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6" w15:restartNumberingAfterBreak="0">
    <w:nsid w:val="210627A6"/>
    <w:multiLevelType w:val="hybridMultilevel"/>
    <w:tmpl w:val="825474C4"/>
    <w:lvl w:ilvl="0" w:tplc="1DDE53BC">
      <w:start w:val="1"/>
      <w:numFmt w:val="decimal"/>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7" w15:restartNumberingAfterBreak="0">
    <w:nsid w:val="273A26D2"/>
    <w:multiLevelType w:val="hybridMultilevel"/>
    <w:tmpl w:val="B0006510"/>
    <w:lvl w:ilvl="0" w:tplc="7DA0ED48">
      <w:start w:val="1"/>
      <w:numFmt w:val="lowerLetter"/>
      <w:lvlText w:val="%1."/>
      <w:lvlJc w:val="left"/>
      <w:pPr>
        <w:ind w:left="360" w:hanging="360"/>
      </w:pPr>
      <w:rPr>
        <w:rFonts w:ascii="Arial" w:hAnsi="Arial" w:cs="Arial"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345318B1"/>
    <w:multiLevelType w:val="multilevel"/>
    <w:tmpl w:val="91A879FA"/>
    <w:lvl w:ilvl="0">
      <w:start w:val="1"/>
      <w:numFmt w:val="decimal"/>
      <w:lvlText w:val="%1."/>
      <w:lvlJc w:val="left"/>
      <w:pPr>
        <w:ind w:left="720" w:hanging="360"/>
      </w:pPr>
      <w:rPr>
        <w:rFonts w:ascii="Arial" w:hAnsi="Arial" w:cs="Arial" w:hint="default"/>
        <w:b/>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DD0C6B"/>
    <w:multiLevelType w:val="hybridMultilevel"/>
    <w:tmpl w:val="11148FD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693596E"/>
    <w:multiLevelType w:val="hybridMultilevel"/>
    <w:tmpl w:val="9C5E448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88F08C4"/>
    <w:multiLevelType w:val="hybridMultilevel"/>
    <w:tmpl w:val="02549FA8"/>
    <w:lvl w:ilvl="0" w:tplc="FFFFFFFF">
      <w:start w:val="1"/>
      <w:numFmt w:val="decimal"/>
      <w:lvlText w:val="%1."/>
      <w:lvlJc w:val="left"/>
      <w:pPr>
        <w:ind w:left="360" w:hanging="360"/>
      </w:pPr>
      <w:rPr>
        <w:b/>
        <w:i w:val="0"/>
        <w:color w:val="auto"/>
        <w:sz w:val="24"/>
        <w:szCs w:val="22"/>
      </w:rPr>
    </w:lvl>
    <w:lvl w:ilvl="1" w:tplc="140A0001">
      <w:start w:val="1"/>
      <w:numFmt w:val="bullet"/>
      <w:lvlText w:val=""/>
      <w:lvlJc w:val="left"/>
      <w:pPr>
        <w:ind w:left="1080" w:hanging="360"/>
      </w:pPr>
      <w:rPr>
        <w:rFonts w:ascii="Symbol" w:hAnsi="Symbol"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9C3371F"/>
    <w:multiLevelType w:val="hybridMultilevel"/>
    <w:tmpl w:val="807236DA"/>
    <w:lvl w:ilvl="0" w:tplc="140A0001">
      <w:start w:val="1"/>
      <w:numFmt w:val="bullet"/>
      <w:lvlText w:val=""/>
      <w:lvlJc w:val="left"/>
      <w:pPr>
        <w:ind w:left="1084" w:hanging="360"/>
      </w:pPr>
      <w:rPr>
        <w:rFonts w:ascii="Symbol" w:hAnsi="Symbol" w:hint="default"/>
      </w:rPr>
    </w:lvl>
    <w:lvl w:ilvl="1" w:tplc="140A0003" w:tentative="1">
      <w:start w:val="1"/>
      <w:numFmt w:val="bullet"/>
      <w:lvlText w:val="o"/>
      <w:lvlJc w:val="left"/>
      <w:pPr>
        <w:ind w:left="1804" w:hanging="360"/>
      </w:pPr>
      <w:rPr>
        <w:rFonts w:ascii="Courier New" w:hAnsi="Courier New" w:cs="Courier New" w:hint="default"/>
      </w:rPr>
    </w:lvl>
    <w:lvl w:ilvl="2" w:tplc="140A0005" w:tentative="1">
      <w:start w:val="1"/>
      <w:numFmt w:val="bullet"/>
      <w:lvlText w:val=""/>
      <w:lvlJc w:val="left"/>
      <w:pPr>
        <w:ind w:left="2524" w:hanging="360"/>
      </w:pPr>
      <w:rPr>
        <w:rFonts w:ascii="Wingdings" w:hAnsi="Wingdings" w:hint="default"/>
      </w:rPr>
    </w:lvl>
    <w:lvl w:ilvl="3" w:tplc="140A0001" w:tentative="1">
      <w:start w:val="1"/>
      <w:numFmt w:val="bullet"/>
      <w:lvlText w:val=""/>
      <w:lvlJc w:val="left"/>
      <w:pPr>
        <w:ind w:left="3244" w:hanging="360"/>
      </w:pPr>
      <w:rPr>
        <w:rFonts w:ascii="Symbol" w:hAnsi="Symbol" w:hint="default"/>
      </w:rPr>
    </w:lvl>
    <w:lvl w:ilvl="4" w:tplc="140A0003" w:tentative="1">
      <w:start w:val="1"/>
      <w:numFmt w:val="bullet"/>
      <w:lvlText w:val="o"/>
      <w:lvlJc w:val="left"/>
      <w:pPr>
        <w:ind w:left="3964" w:hanging="360"/>
      </w:pPr>
      <w:rPr>
        <w:rFonts w:ascii="Courier New" w:hAnsi="Courier New" w:cs="Courier New" w:hint="default"/>
      </w:rPr>
    </w:lvl>
    <w:lvl w:ilvl="5" w:tplc="140A0005" w:tentative="1">
      <w:start w:val="1"/>
      <w:numFmt w:val="bullet"/>
      <w:lvlText w:val=""/>
      <w:lvlJc w:val="left"/>
      <w:pPr>
        <w:ind w:left="4684" w:hanging="360"/>
      </w:pPr>
      <w:rPr>
        <w:rFonts w:ascii="Wingdings" w:hAnsi="Wingdings" w:hint="default"/>
      </w:rPr>
    </w:lvl>
    <w:lvl w:ilvl="6" w:tplc="140A0001" w:tentative="1">
      <w:start w:val="1"/>
      <w:numFmt w:val="bullet"/>
      <w:lvlText w:val=""/>
      <w:lvlJc w:val="left"/>
      <w:pPr>
        <w:ind w:left="5404" w:hanging="360"/>
      </w:pPr>
      <w:rPr>
        <w:rFonts w:ascii="Symbol" w:hAnsi="Symbol" w:hint="default"/>
      </w:rPr>
    </w:lvl>
    <w:lvl w:ilvl="7" w:tplc="140A0003" w:tentative="1">
      <w:start w:val="1"/>
      <w:numFmt w:val="bullet"/>
      <w:lvlText w:val="o"/>
      <w:lvlJc w:val="left"/>
      <w:pPr>
        <w:ind w:left="6124" w:hanging="360"/>
      </w:pPr>
      <w:rPr>
        <w:rFonts w:ascii="Courier New" w:hAnsi="Courier New" w:cs="Courier New" w:hint="default"/>
      </w:rPr>
    </w:lvl>
    <w:lvl w:ilvl="8" w:tplc="140A0005" w:tentative="1">
      <w:start w:val="1"/>
      <w:numFmt w:val="bullet"/>
      <w:lvlText w:val=""/>
      <w:lvlJc w:val="left"/>
      <w:pPr>
        <w:ind w:left="6844" w:hanging="360"/>
      </w:pPr>
      <w:rPr>
        <w:rFonts w:ascii="Wingdings" w:hAnsi="Wingdings" w:hint="default"/>
      </w:rPr>
    </w:lvl>
  </w:abstractNum>
  <w:abstractNum w:abstractNumId="14" w15:restartNumberingAfterBreak="0">
    <w:nsid w:val="48005C6A"/>
    <w:multiLevelType w:val="hybridMultilevel"/>
    <w:tmpl w:val="FA8A346E"/>
    <w:lvl w:ilvl="0" w:tplc="B4441240">
      <w:start w:val="1"/>
      <w:numFmt w:val="lowerLetter"/>
      <w:lvlText w:val="%1."/>
      <w:lvlJc w:val="left"/>
      <w:pPr>
        <w:tabs>
          <w:tab w:val="num" w:pos="360"/>
        </w:tabs>
        <w:ind w:left="360" w:hanging="360"/>
      </w:pPr>
      <w:rPr>
        <w:rFonts w:hint="default"/>
        <w:b/>
        <w:i w:val="0"/>
        <w:sz w:val="24"/>
        <w:szCs w:val="24"/>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4A7F3439"/>
    <w:multiLevelType w:val="multilevel"/>
    <w:tmpl w:val="91A879FA"/>
    <w:lvl w:ilvl="0">
      <w:start w:val="1"/>
      <w:numFmt w:val="decimal"/>
      <w:lvlText w:val="%1."/>
      <w:lvlJc w:val="left"/>
      <w:pPr>
        <w:ind w:left="360" w:hanging="360"/>
      </w:pPr>
      <w:rPr>
        <w:rFonts w:ascii="Arial" w:hAnsi="Arial" w:cs="Arial" w:hint="default"/>
        <w:b/>
        <w:i w:val="0"/>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E6D6812"/>
    <w:multiLevelType w:val="hybridMultilevel"/>
    <w:tmpl w:val="5E44DD88"/>
    <w:lvl w:ilvl="0" w:tplc="2A58FDC6">
      <w:start w:val="1"/>
      <w:numFmt w:val="decimal"/>
      <w:lvlText w:val="%1."/>
      <w:lvlJc w:val="left"/>
      <w:pPr>
        <w:ind w:left="360" w:hanging="360"/>
      </w:pPr>
      <w:rPr>
        <w:b/>
        <w:i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2804268"/>
    <w:multiLevelType w:val="hybridMultilevel"/>
    <w:tmpl w:val="C0CE52A8"/>
    <w:lvl w:ilvl="0" w:tplc="7CBCCBA2">
      <w:start w:val="7"/>
      <w:numFmt w:val="decimal"/>
      <w:lvlText w:val="%1."/>
      <w:lvlJc w:val="left"/>
      <w:pPr>
        <w:ind w:left="1068"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66E119A"/>
    <w:multiLevelType w:val="hybridMultilevel"/>
    <w:tmpl w:val="0AB2A33C"/>
    <w:lvl w:ilvl="0" w:tplc="D24AE604">
      <w:start w:val="1"/>
      <w:numFmt w:val="decimal"/>
      <w:lvlText w:val="%1."/>
      <w:lvlJc w:val="left"/>
      <w:pPr>
        <w:ind w:left="786" w:hanging="360"/>
      </w:pPr>
      <w:rPr>
        <w:b/>
        <w:i w:val="0"/>
        <w:sz w:val="24"/>
        <w:szCs w:val="24"/>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9"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073718F"/>
    <w:multiLevelType w:val="hybridMultilevel"/>
    <w:tmpl w:val="02549FA8"/>
    <w:lvl w:ilvl="0" w:tplc="FFFFFFFF">
      <w:start w:val="1"/>
      <w:numFmt w:val="decimal"/>
      <w:lvlText w:val="%1."/>
      <w:lvlJc w:val="left"/>
      <w:pPr>
        <w:ind w:left="720" w:hanging="360"/>
      </w:pPr>
      <w:rPr>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44207F6"/>
    <w:multiLevelType w:val="hybridMultilevel"/>
    <w:tmpl w:val="1D466E0E"/>
    <w:lvl w:ilvl="0" w:tplc="A2A29C9E">
      <w:start w:val="2"/>
      <w:numFmt w:val="decimal"/>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2" w15:restartNumberingAfterBreak="0">
    <w:nsid w:val="65E31167"/>
    <w:multiLevelType w:val="hybridMultilevel"/>
    <w:tmpl w:val="5E44DD88"/>
    <w:lvl w:ilvl="0" w:tplc="2A58FDC6">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7556C2F"/>
    <w:multiLevelType w:val="hybridMultilevel"/>
    <w:tmpl w:val="14FC85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9786C3A"/>
    <w:multiLevelType w:val="hybridMultilevel"/>
    <w:tmpl w:val="36D28732"/>
    <w:lvl w:ilvl="0" w:tplc="00507CA4">
      <w:start w:val="1"/>
      <w:numFmt w:val="lowerLetter"/>
      <w:lvlText w:val="%1."/>
      <w:lvlJc w:val="left"/>
      <w:pPr>
        <w:tabs>
          <w:tab w:val="num" w:pos="400"/>
        </w:tabs>
        <w:ind w:left="400" w:hanging="360"/>
      </w:pPr>
      <w:rPr>
        <w:rFonts w:ascii="Arial" w:hAnsi="Arial"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25" w15:restartNumberingAfterBreak="0">
    <w:nsid w:val="6AA516C5"/>
    <w:multiLevelType w:val="hybridMultilevel"/>
    <w:tmpl w:val="46E41184"/>
    <w:lvl w:ilvl="0" w:tplc="4986EE06">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AE806EB"/>
    <w:multiLevelType w:val="hybridMultilevel"/>
    <w:tmpl w:val="0AB2A33C"/>
    <w:lvl w:ilvl="0" w:tplc="D24AE604">
      <w:start w:val="1"/>
      <w:numFmt w:val="decimal"/>
      <w:lvlText w:val="%1."/>
      <w:lvlJc w:val="left"/>
      <w:pPr>
        <w:ind w:left="786" w:hanging="360"/>
      </w:pPr>
      <w:rPr>
        <w:b/>
        <w:i w:val="0"/>
        <w:sz w:val="24"/>
        <w:szCs w:val="24"/>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7"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E6B570F"/>
    <w:multiLevelType w:val="hybridMultilevel"/>
    <w:tmpl w:val="BBE4A414"/>
    <w:lvl w:ilvl="0" w:tplc="2F1821E2">
      <w:start w:val="1"/>
      <w:numFmt w:val="decimal"/>
      <w:lvlText w:val="%1."/>
      <w:lvlJc w:val="left"/>
      <w:pPr>
        <w:ind w:left="360" w:hanging="360"/>
      </w:pPr>
      <w:rPr>
        <w:rFonts w:ascii="Arial" w:hAnsi="Arial" w:cs="Arial" w:hint="default"/>
        <w:b/>
        <w:i w:val="0"/>
        <w:sz w:val="24"/>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EF31585"/>
    <w:multiLevelType w:val="hybridMultilevel"/>
    <w:tmpl w:val="B5FC0CB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4"/>
  </w:num>
  <w:num w:numId="4">
    <w:abstractNumId w:val="8"/>
  </w:num>
  <w:num w:numId="5">
    <w:abstractNumId w:val="15"/>
  </w:num>
  <w:num w:numId="6">
    <w:abstractNumId w:val="13"/>
  </w:num>
  <w:num w:numId="7">
    <w:abstractNumId w:val="5"/>
  </w:num>
  <w:num w:numId="8">
    <w:abstractNumId w:val="27"/>
  </w:num>
  <w:num w:numId="9">
    <w:abstractNumId w:val="12"/>
  </w:num>
  <w:num w:numId="10">
    <w:abstractNumId w:val="19"/>
  </w:num>
  <w:num w:numId="11">
    <w:abstractNumId w:val="3"/>
  </w:num>
  <w:num w:numId="12">
    <w:abstractNumId w:val="28"/>
  </w:num>
  <w:num w:numId="13">
    <w:abstractNumId w:val="22"/>
  </w:num>
  <w:num w:numId="14">
    <w:abstractNumId w:val="7"/>
  </w:num>
  <w:num w:numId="15">
    <w:abstractNumId w:val="16"/>
  </w:num>
  <w:num w:numId="16">
    <w:abstractNumId w:val="26"/>
  </w:num>
  <w:num w:numId="17">
    <w:abstractNumId w:val="25"/>
  </w:num>
  <w:num w:numId="18">
    <w:abstractNumId w:val="18"/>
  </w:num>
  <w:num w:numId="19">
    <w:abstractNumId w:val="14"/>
  </w:num>
  <w:num w:numId="20">
    <w:abstractNumId w:val="20"/>
  </w:num>
  <w:num w:numId="21">
    <w:abstractNumId w:val="6"/>
  </w:num>
  <w:num w:numId="22">
    <w:abstractNumId w:val="23"/>
  </w:num>
  <w:num w:numId="23">
    <w:abstractNumId w:val="9"/>
  </w:num>
  <w:num w:numId="24">
    <w:abstractNumId w:val="4"/>
  </w:num>
  <w:num w:numId="25">
    <w:abstractNumId w:val="10"/>
  </w:num>
  <w:num w:numId="26">
    <w:abstractNumId w:val="1"/>
  </w:num>
  <w:num w:numId="27">
    <w:abstractNumId w:val="29"/>
  </w:num>
  <w:num w:numId="28">
    <w:abstractNumId w:val="21"/>
  </w:num>
  <w:num w:numId="29">
    <w:abstractNumId w:val="17"/>
  </w:num>
  <w:num w:numId="3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25F60"/>
    <w:rsid w:val="00026533"/>
    <w:rsid w:val="00026F1A"/>
    <w:rsid w:val="00033918"/>
    <w:rsid w:val="00034CE3"/>
    <w:rsid w:val="000359F5"/>
    <w:rsid w:val="0003651A"/>
    <w:rsid w:val="00036DAC"/>
    <w:rsid w:val="000372D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9D9"/>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6E7F"/>
    <w:rsid w:val="00087607"/>
    <w:rsid w:val="00087623"/>
    <w:rsid w:val="000903CE"/>
    <w:rsid w:val="00090FDF"/>
    <w:rsid w:val="00091B7B"/>
    <w:rsid w:val="0009329E"/>
    <w:rsid w:val="000934FF"/>
    <w:rsid w:val="000936AB"/>
    <w:rsid w:val="00093971"/>
    <w:rsid w:val="00094138"/>
    <w:rsid w:val="000955C3"/>
    <w:rsid w:val="000A0756"/>
    <w:rsid w:val="000A0FF7"/>
    <w:rsid w:val="000A19B8"/>
    <w:rsid w:val="000A5D85"/>
    <w:rsid w:val="000A5F69"/>
    <w:rsid w:val="000A6BE8"/>
    <w:rsid w:val="000A787F"/>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A8B"/>
    <w:rsid w:val="000C7F00"/>
    <w:rsid w:val="000D1A31"/>
    <w:rsid w:val="000D220C"/>
    <w:rsid w:val="000D2AD1"/>
    <w:rsid w:val="000D34C2"/>
    <w:rsid w:val="000D5ACC"/>
    <w:rsid w:val="000D5C6B"/>
    <w:rsid w:val="000D6061"/>
    <w:rsid w:val="000D62F0"/>
    <w:rsid w:val="000D7162"/>
    <w:rsid w:val="000E1F4D"/>
    <w:rsid w:val="000E2A22"/>
    <w:rsid w:val="000E39E4"/>
    <w:rsid w:val="000E420E"/>
    <w:rsid w:val="000E4C68"/>
    <w:rsid w:val="000E4FED"/>
    <w:rsid w:val="000E564F"/>
    <w:rsid w:val="000E5B14"/>
    <w:rsid w:val="000E6DC9"/>
    <w:rsid w:val="000F106C"/>
    <w:rsid w:val="000F1E1D"/>
    <w:rsid w:val="000F2A0F"/>
    <w:rsid w:val="000F4343"/>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38F4"/>
    <w:rsid w:val="00115853"/>
    <w:rsid w:val="00117962"/>
    <w:rsid w:val="00117C68"/>
    <w:rsid w:val="00121308"/>
    <w:rsid w:val="001237E1"/>
    <w:rsid w:val="001240CC"/>
    <w:rsid w:val="001248CE"/>
    <w:rsid w:val="001256AA"/>
    <w:rsid w:val="001263D3"/>
    <w:rsid w:val="001272AF"/>
    <w:rsid w:val="001304BF"/>
    <w:rsid w:val="0013093C"/>
    <w:rsid w:val="001319DF"/>
    <w:rsid w:val="00132C08"/>
    <w:rsid w:val="00133DC3"/>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3956"/>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5B12"/>
    <w:rsid w:val="001962C2"/>
    <w:rsid w:val="00196A5D"/>
    <w:rsid w:val="00196E82"/>
    <w:rsid w:val="001A0A20"/>
    <w:rsid w:val="001A0D41"/>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3C66"/>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2D8"/>
    <w:rsid w:val="002279E5"/>
    <w:rsid w:val="00227D3E"/>
    <w:rsid w:val="00230EB0"/>
    <w:rsid w:val="00233B57"/>
    <w:rsid w:val="00234BB0"/>
    <w:rsid w:val="00235258"/>
    <w:rsid w:val="0024107D"/>
    <w:rsid w:val="00241503"/>
    <w:rsid w:val="00242D06"/>
    <w:rsid w:val="00242F8A"/>
    <w:rsid w:val="00245783"/>
    <w:rsid w:val="002460D1"/>
    <w:rsid w:val="002462C8"/>
    <w:rsid w:val="00246D38"/>
    <w:rsid w:val="00247443"/>
    <w:rsid w:val="002477F3"/>
    <w:rsid w:val="00250B47"/>
    <w:rsid w:val="002535D4"/>
    <w:rsid w:val="00253D5C"/>
    <w:rsid w:val="002543F5"/>
    <w:rsid w:val="00255202"/>
    <w:rsid w:val="002569E9"/>
    <w:rsid w:val="00256C13"/>
    <w:rsid w:val="00260F3E"/>
    <w:rsid w:val="00261D4A"/>
    <w:rsid w:val="00263233"/>
    <w:rsid w:val="00263D21"/>
    <w:rsid w:val="002643B6"/>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2EA3"/>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35"/>
    <w:rsid w:val="002A51A3"/>
    <w:rsid w:val="002A57B5"/>
    <w:rsid w:val="002A7751"/>
    <w:rsid w:val="002B0374"/>
    <w:rsid w:val="002B159C"/>
    <w:rsid w:val="002B2032"/>
    <w:rsid w:val="002B2346"/>
    <w:rsid w:val="002B3224"/>
    <w:rsid w:val="002B4AA8"/>
    <w:rsid w:val="002C0D34"/>
    <w:rsid w:val="002C163E"/>
    <w:rsid w:val="002C19F4"/>
    <w:rsid w:val="002C228F"/>
    <w:rsid w:val="002C2B58"/>
    <w:rsid w:val="002C468D"/>
    <w:rsid w:val="002C4D2C"/>
    <w:rsid w:val="002C5EB4"/>
    <w:rsid w:val="002C6BE2"/>
    <w:rsid w:val="002D170E"/>
    <w:rsid w:val="002D2A79"/>
    <w:rsid w:val="002D2C7C"/>
    <w:rsid w:val="002D2DF2"/>
    <w:rsid w:val="002D6978"/>
    <w:rsid w:val="002D76DD"/>
    <w:rsid w:val="002D7A95"/>
    <w:rsid w:val="002E03BF"/>
    <w:rsid w:val="002E1507"/>
    <w:rsid w:val="002E2751"/>
    <w:rsid w:val="002E49F2"/>
    <w:rsid w:val="002E5A2A"/>
    <w:rsid w:val="002F03FC"/>
    <w:rsid w:val="002F05FD"/>
    <w:rsid w:val="002F1374"/>
    <w:rsid w:val="002F23A9"/>
    <w:rsid w:val="002F6367"/>
    <w:rsid w:val="002F6AF8"/>
    <w:rsid w:val="0030074C"/>
    <w:rsid w:val="00300778"/>
    <w:rsid w:val="003011A3"/>
    <w:rsid w:val="0030153B"/>
    <w:rsid w:val="00301B0B"/>
    <w:rsid w:val="00302A99"/>
    <w:rsid w:val="003042E7"/>
    <w:rsid w:val="003047F1"/>
    <w:rsid w:val="0030486D"/>
    <w:rsid w:val="00305BC2"/>
    <w:rsid w:val="00310865"/>
    <w:rsid w:val="003162A0"/>
    <w:rsid w:val="00316937"/>
    <w:rsid w:val="00316C74"/>
    <w:rsid w:val="00316F7C"/>
    <w:rsid w:val="00317D3B"/>
    <w:rsid w:val="0032099D"/>
    <w:rsid w:val="003222DB"/>
    <w:rsid w:val="00322446"/>
    <w:rsid w:val="00322B8A"/>
    <w:rsid w:val="00323397"/>
    <w:rsid w:val="00323590"/>
    <w:rsid w:val="00324AB0"/>
    <w:rsid w:val="00325DEA"/>
    <w:rsid w:val="00325E1C"/>
    <w:rsid w:val="003262C5"/>
    <w:rsid w:val="003309B6"/>
    <w:rsid w:val="00332808"/>
    <w:rsid w:val="00333402"/>
    <w:rsid w:val="00334300"/>
    <w:rsid w:val="00334A92"/>
    <w:rsid w:val="00335BDE"/>
    <w:rsid w:val="003369A5"/>
    <w:rsid w:val="00336F05"/>
    <w:rsid w:val="00337408"/>
    <w:rsid w:val="00337455"/>
    <w:rsid w:val="0034046D"/>
    <w:rsid w:val="00340863"/>
    <w:rsid w:val="0034405E"/>
    <w:rsid w:val="00344103"/>
    <w:rsid w:val="00345207"/>
    <w:rsid w:val="00345C97"/>
    <w:rsid w:val="003471E0"/>
    <w:rsid w:val="0035043F"/>
    <w:rsid w:val="00350681"/>
    <w:rsid w:val="003506A7"/>
    <w:rsid w:val="00350E0D"/>
    <w:rsid w:val="003518BD"/>
    <w:rsid w:val="00352E01"/>
    <w:rsid w:val="003533EB"/>
    <w:rsid w:val="003538E7"/>
    <w:rsid w:val="0035725E"/>
    <w:rsid w:val="00365CFF"/>
    <w:rsid w:val="00365D1B"/>
    <w:rsid w:val="0036607E"/>
    <w:rsid w:val="00366F0E"/>
    <w:rsid w:val="00370216"/>
    <w:rsid w:val="00371DC1"/>
    <w:rsid w:val="003756F2"/>
    <w:rsid w:val="00380871"/>
    <w:rsid w:val="00381397"/>
    <w:rsid w:val="0038212F"/>
    <w:rsid w:val="00382EA8"/>
    <w:rsid w:val="00385402"/>
    <w:rsid w:val="003859C1"/>
    <w:rsid w:val="00385D90"/>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571"/>
    <w:rsid w:val="003C5FFE"/>
    <w:rsid w:val="003C6ED7"/>
    <w:rsid w:val="003D111E"/>
    <w:rsid w:val="003D2633"/>
    <w:rsid w:val="003D3F8A"/>
    <w:rsid w:val="003D5AAA"/>
    <w:rsid w:val="003D7515"/>
    <w:rsid w:val="003E02A1"/>
    <w:rsid w:val="003E0C89"/>
    <w:rsid w:val="003E2233"/>
    <w:rsid w:val="003E23AD"/>
    <w:rsid w:val="003E26B1"/>
    <w:rsid w:val="003E2804"/>
    <w:rsid w:val="003E369B"/>
    <w:rsid w:val="003E5181"/>
    <w:rsid w:val="003E6A14"/>
    <w:rsid w:val="003E7EDF"/>
    <w:rsid w:val="003F0170"/>
    <w:rsid w:val="003F0204"/>
    <w:rsid w:val="003F0538"/>
    <w:rsid w:val="003F231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5E98"/>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76CE1"/>
    <w:rsid w:val="00477A87"/>
    <w:rsid w:val="00480A91"/>
    <w:rsid w:val="0048135B"/>
    <w:rsid w:val="00481E38"/>
    <w:rsid w:val="004823B5"/>
    <w:rsid w:val="00482A59"/>
    <w:rsid w:val="0048389C"/>
    <w:rsid w:val="00487338"/>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2DD2"/>
    <w:rsid w:val="004B3C97"/>
    <w:rsid w:val="004B43AF"/>
    <w:rsid w:val="004B4763"/>
    <w:rsid w:val="004B5364"/>
    <w:rsid w:val="004B66FD"/>
    <w:rsid w:val="004B6F51"/>
    <w:rsid w:val="004C22EE"/>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D7710"/>
    <w:rsid w:val="004E1FC9"/>
    <w:rsid w:val="004E23CB"/>
    <w:rsid w:val="004E3D7B"/>
    <w:rsid w:val="004E6438"/>
    <w:rsid w:val="004E64EF"/>
    <w:rsid w:val="004E65FB"/>
    <w:rsid w:val="004E6E23"/>
    <w:rsid w:val="004E7D9D"/>
    <w:rsid w:val="004E7FFC"/>
    <w:rsid w:val="004F2645"/>
    <w:rsid w:val="004F319C"/>
    <w:rsid w:val="004F36F9"/>
    <w:rsid w:val="004F6BA9"/>
    <w:rsid w:val="004F7EB0"/>
    <w:rsid w:val="00501E14"/>
    <w:rsid w:val="00502116"/>
    <w:rsid w:val="00503263"/>
    <w:rsid w:val="005032E7"/>
    <w:rsid w:val="005047A3"/>
    <w:rsid w:val="00504D5D"/>
    <w:rsid w:val="005052C7"/>
    <w:rsid w:val="00506EDE"/>
    <w:rsid w:val="00510C22"/>
    <w:rsid w:val="00511246"/>
    <w:rsid w:val="005121D8"/>
    <w:rsid w:val="005156CF"/>
    <w:rsid w:val="00515CEC"/>
    <w:rsid w:val="0051678E"/>
    <w:rsid w:val="005222BE"/>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52F"/>
    <w:rsid w:val="00535BFB"/>
    <w:rsid w:val="00537CCA"/>
    <w:rsid w:val="00540263"/>
    <w:rsid w:val="005405AE"/>
    <w:rsid w:val="00540BF7"/>
    <w:rsid w:val="005428FF"/>
    <w:rsid w:val="00542FD2"/>
    <w:rsid w:val="005439E9"/>
    <w:rsid w:val="00543D7B"/>
    <w:rsid w:val="005447D0"/>
    <w:rsid w:val="00546B67"/>
    <w:rsid w:val="00554E8E"/>
    <w:rsid w:val="005578CB"/>
    <w:rsid w:val="005579A5"/>
    <w:rsid w:val="00561BD6"/>
    <w:rsid w:val="00561FD4"/>
    <w:rsid w:val="005628FD"/>
    <w:rsid w:val="00563417"/>
    <w:rsid w:val="00563E83"/>
    <w:rsid w:val="005653A1"/>
    <w:rsid w:val="0056674D"/>
    <w:rsid w:val="00570916"/>
    <w:rsid w:val="00571183"/>
    <w:rsid w:val="005718A6"/>
    <w:rsid w:val="00574E3C"/>
    <w:rsid w:val="005766E0"/>
    <w:rsid w:val="00577426"/>
    <w:rsid w:val="0058110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4757"/>
    <w:rsid w:val="005B6F1F"/>
    <w:rsid w:val="005C0755"/>
    <w:rsid w:val="005C2C87"/>
    <w:rsid w:val="005C5121"/>
    <w:rsid w:val="005C52A3"/>
    <w:rsid w:val="005C56A6"/>
    <w:rsid w:val="005D234B"/>
    <w:rsid w:val="005D242A"/>
    <w:rsid w:val="005D6078"/>
    <w:rsid w:val="005D64E8"/>
    <w:rsid w:val="005E0359"/>
    <w:rsid w:val="005E06F0"/>
    <w:rsid w:val="005E10A2"/>
    <w:rsid w:val="005E1B2D"/>
    <w:rsid w:val="005E4831"/>
    <w:rsid w:val="005E6C51"/>
    <w:rsid w:val="005E6F3F"/>
    <w:rsid w:val="005E779D"/>
    <w:rsid w:val="005F3429"/>
    <w:rsid w:val="005F3B68"/>
    <w:rsid w:val="005F3D1A"/>
    <w:rsid w:val="005F4079"/>
    <w:rsid w:val="005F40F5"/>
    <w:rsid w:val="005F510D"/>
    <w:rsid w:val="005F6B28"/>
    <w:rsid w:val="005F79E5"/>
    <w:rsid w:val="005F7BC7"/>
    <w:rsid w:val="00603C4D"/>
    <w:rsid w:val="00604520"/>
    <w:rsid w:val="006059E6"/>
    <w:rsid w:val="0060685F"/>
    <w:rsid w:val="00607B7C"/>
    <w:rsid w:val="00607ECD"/>
    <w:rsid w:val="00610697"/>
    <w:rsid w:val="0061239A"/>
    <w:rsid w:val="00612C0F"/>
    <w:rsid w:val="006133E5"/>
    <w:rsid w:val="00620D40"/>
    <w:rsid w:val="00621218"/>
    <w:rsid w:val="0062298E"/>
    <w:rsid w:val="00623598"/>
    <w:rsid w:val="00623979"/>
    <w:rsid w:val="00623BA9"/>
    <w:rsid w:val="0062557C"/>
    <w:rsid w:val="00625AB2"/>
    <w:rsid w:val="00631B4A"/>
    <w:rsid w:val="00633029"/>
    <w:rsid w:val="00633C40"/>
    <w:rsid w:val="00633E40"/>
    <w:rsid w:val="00636361"/>
    <w:rsid w:val="00640339"/>
    <w:rsid w:val="00641982"/>
    <w:rsid w:val="00641F5E"/>
    <w:rsid w:val="00643F55"/>
    <w:rsid w:val="0064406E"/>
    <w:rsid w:val="006442DF"/>
    <w:rsid w:val="0064444E"/>
    <w:rsid w:val="0064512E"/>
    <w:rsid w:val="00645C62"/>
    <w:rsid w:val="006465AB"/>
    <w:rsid w:val="00646ED5"/>
    <w:rsid w:val="00647711"/>
    <w:rsid w:val="00651E73"/>
    <w:rsid w:val="0065208E"/>
    <w:rsid w:val="006526CE"/>
    <w:rsid w:val="00653936"/>
    <w:rsid w:val="006558C0"/>
    <w:rsid w:val="00656B1D"/>
    <w:rsid w:val="00661406"/>
    <w:rsid w:val="00662142"/>
    <w:rsid w:val="00664E8B"/>
    <w:rsid w:val="00665335"/>
    <w:rsid w:val="0066604E"/>
    <w:rsid w:val="0066690B"/>
    <w:rsid w:val="00672900"/>
    <w:rsid w:val="00672D32"/>
    <w:rsid w:val="00672F26"/>
    <w:rsid w:val="0067394A"/>
    <w:rsid w:val="00675C04"/>
    <w:rsid w:val="00676630"/>
    <w:rsid w:val="00676DF3"/>
    <w:rsid w:val="00682D8A"/>
    <w:rsid w:val="0068346A"/>
    <w:rsid w:val="006842AD"/>
    <w:rsid w:val="006851C8"/>
    <w:rsid w:val="0068595E"/>
    <w:rsid w:val="006862AA"/>
    <w:rsid w:val="006867AF"/>
    <w:rsid w:val="006871B3"/>
    <w:rsid w:val="00691130"/>
    <w:rsid w:val="0069180D"/>
    <w:rsid w:val="006938F4"/>
    <w:rsid w:val="00694DD0"/>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512"/>
    <w:rsid w:val="006D4753"/>
    <w:rsid w:val="006D5795"/>
    <w:rsid w:val="006D5CAB"/>
    <w:rsid w:val="006E0F76"/>
    <w:rsid w:val="006E1429"/>
    <w:rsid w:val="006E2881"/>
    <w:rsid w:val="006E34CD"/>
    <w:rsid w:val="006E4522"/>
    <w:rsid w:val="006E4F8A"/>
    <w:rsid w:val="006E64C7"/>
    <w:rsid w:val="006E6682"/>
    <w:rsid w:val="006E673C"/>
    <w:rsid w:val="006F2985"/>
    <w:rsid w:val="006F39FD"/>
    <w:rsid w:val="006F47D9"/>
    <w:rsid w:val="006F6992"/>
    <w:rsid w:val="006F7054"/>
    <w:rsid w:val="006F736E"/>
    <w:rsid w:val="006F7C62"/>
    <w:rsid w:val="007006ED"/>
    <w:rsid w:val="00700F21"/>
    <w:rsid w:val="00704042"/>
    <w:rsid w:val="00706FEC"/>
    <w:rsid w:val="0071118B"/>
    <w:rsid w:val="007116E4"/>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355"/>
    <w:rsid w:val="0073280F"/>
    <w:rsid w:val="00733178"/>
    <w:rsid w:val="00734993"/>
    <w:rsid w:val="00735B4A"/>
    <w:rsid w:val="00735DBA"/>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D88"/>
    <w:rsid w:val="0076203A"/>
    <w:rsid w:val="00762612"/>
    <w:rsid w:val="00763AF2"/>
    <w:rsid w:val="00767A01"/>
    <w:rsid w:val="00767AF5"/>
    <w:rsid w:val="00771193"/>
    <w:rsid w:val="00771F15"/>
    <w:rsid w:val="007729C9"/>
    <w:rsid w:val="007742A1"/>
    <w:rsid w:val="00774600"/>
    <w:rsid w:val="00777FF4"/>
    <w:rsid w:val="00781332"/>
    <w:rsid w:val="007819B0"/>
    <w:rsid w:val="007837C1"/>
    <w:rsid w:val="007848E0"/>
    <w:rsid w:val="0078514D"/>
    <w:rsid w:val="00785B68"/>
    <w:rsid w:val="00791713"/>
    <w:rsid w:val="00791806"/>
    <w:rsid w:val="00791D2B"/>
    <w:rsid w:val="00792DCA"/>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18AD"/>
    <w:rsid w:val="00803BB3"/>
    <w:rsid w:val="00804036"/>
    <w:rsid w:val="008059AB"/>
    <w:rsid w:val="008071A7"/>
    <w:rsid w:val="00807CCB"/>
    <w:rsid w:val="008101FC"/>
    <w:rsid w:val="00810670"/>
    <w:rsid w:val="008108E8"/>
    <w:rsid w:val="0081353F"/>
    <w:rsid w:val="00815304"/>
    <w:rsid w:val="00816407"/>
    <w:rsid w:val="00817E8C"/>
    <w:rsid w:val="00821226"/>
    <w:rsid w:val="00821E37"/>
    <w:rsid w:val="00821E72"/>
    <w:rsid w:val="00823CC6"/>
    <w:rsid w:val="00825809"/>
    <w:rsid w:val="00825F93"/>
    <w:rsid w:val="00831982"/>
    <w:rsid w:val="0083257F"/>
    <w:rsid w:val="00833CF7"/>
    <w:rsid w:val="00834636"/>
    <w:rsid w:val="00835E65"/>
    <w:rsid w:val="00836144"/>
    <w:rsid w:val="00837AFC"/>
    <w:rsid w:val="0084085F"/>
    <w:rsid w:val="00841F61"/>
    <w:rsid w:val="008434BA"/>
    <w:rsid w:val="00845247"/>
    <w:rsid w:val="00845D24"/>
    <w:rsid w:val="00845DBC"/>
    <w:rsid w:val="00851093"/>
    <w:rsid w:val="008517A6"/>
    <w:rsid w:val="008522DF"/>
    <w:rsid w:val="008544DB"/>
    <w:rsid w:val="008569BA"/>
    <w:rsid w:val="00862FA3"/>
    <w:rsid w:val="00862FDC"/>
    <w:rsid w:val="00863F94"/>
    <w:rsid w:val="00865845"/>
    <w:rsid w:val="00866EEF"/>
    <w:rsid w:val="008757CC"/>
    <w:rsid w:val="008765DF"/>
    <w:rsid w:val="00876EC4"/>
    <w:rsid w:val="00877453"/>
    <w:rsid w:val="0088064F"/>
    <w:rsid w:val="00880D5D"/>
    <w:rsid w:val="008833CD"/>
    <w:rsid w:val="008841D4"/>
    <w:rsid w:val="008846FA"/>
    <w:rsid w:val="00885725"/>
    <w:rsid w:val="00885DF1"/>
    <w:rsid w:val="00885F0A"/>
    <w:rsid w:val="008879C9"/>
    <w:rsid w:val="00887FCC"/>
    <w:rsid w:val="008903EF"/>
    <w:rsid w:val="00891B08"/>
    <w:rsid w:val="00892EAF"/>
    <w:rsid w:val="00893524"/>
    <w:rsid w:val="008935CB"/>
    <w:rsid w:val="00893FAC"/>
    <w:rsid w:val="0089404C"/>
    <w:rsid w:val="008A03C9"/>
    <w:rsid w:val="008A0859"/>
    <w:rsid w:val="008A1075"/>
    <w:rsid w:val="008A160D"/>
    <w:rsid w:val="008A28F0"/>
    <w:rsid w:val="008A3B39"/>
    <w:rsid w:val="008A53D4"/>
    <w:rsid w:val="008A5C04"/>
    <w:rsid w:val="008A6AE5"/>
    <w:rsid w:val="008B0272"/>
    <w:rsid w:val="008B43F5"/>
    <w:rsid w:val="008C03A0"/>
    <w:rsid w:val="008C0ED3"/>
    <w:rsid w:val="008C0FFF"/>
    <w:rsid w:val="008C162C"/>
    <w:rsid w:val="008C2C97"/>
    <w:rsid w:val="008C3A8F"/>
    <w:rsid w:val="008C57E2"/>
    <w:rsid w:val="008C7007"/>
    <w:rsid w:val="008C7175"/>
    <w:rsid w:val="008D06F2"/>
    <w:rsid w:val="008D0FEC"/>
    <w:rsid w:val="008D187C"/>
    <w:rsid w:val="008D1976"/>
    <w:rsid w:val="008D3FB0"/>
    <w:rsid w:val="008D4991"/>
    <w:rsid w:val="008D5D01"/>
    <w:rsid w:val="008D74B3"/>
    <w:rsid w:val="008D7C3D"/>
    <w:rsid w:val="008D7E9D"/>
    <w:rsid w:val="008E0D8C"/>
    <w:rsid w:val="008E121B"/>
    <w:rsid w:val="008E18B1"/>
    <w:rsid w:val="008E23D2"/>
    <w:rsid w:val="008E3496"/>
    <w:rsid w:val="008E4197"/>
    <w:rsid w:val="008E463C"/>
    <w:rsid w:val="008E4708"/>
    <w:rsid w:val="008E511D"/>
    <w:rsid w:val="008E58B9"/>
    <w:rsid w:val="008E75AE"/>
    <w:rsid w:val="008F0835"/>
    <w:rsid w:val="008F0CC4"/>
    <w:rsid w:val="008F2472"/>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5EC"/>
    <w:rsid w:val="00917F97"/>
    <w:rsid w:val="00922BD0"/>
    <w:rsid w:val="00924AA2"/>
    <w:rsid w:val="009258C6"/>
    <w:rsid w:val="00925985"/>
    <w:rsid w:val="00930A02"/>
    <w:rsid w:val="00931FBC"/>
    <w:rsid w:val="00932C87"/>
    <w:rsid w:val="009401C7"/>
    <w:rsid w:val="00941DA2"/>
    <w:rsid w:val="00944457"/>
    <w:rsid w:val="00945C56"/>
    <w:rsid w:val="009462DD"/>
    <w:rsid w:val="009514AE"/>
    <w:rsid w:val="009526A4"/>
    <w:rsid w:val="00952E2A"/>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A41"/>
    <w:rsid w:val="00995F34"/>
    <w:rsid w:val="00997E5D"/>
    <w:rsid w:val="009A16A5"/>
    <w:rsid w:val="009A56D9"/>
    <w:rsid w:val="009A664B"/>
    <w:rsid w:val="009A7FC5"/>
    <w:rsid w:val="009B0294"/>
    <w:rsid w:val="009B0462"/>
    <w:rsid w:val="009B0DBA"/>
    <w:rsid w:val="009B267A"/>
    <w:rsid w:val="009B542F"/>
    <w:rsid w:val="009B6E5E"/>
    <w:rsid w:val="009B7EF8"/>
    <w:rsid w:val="009C099B"/>
    <w:rsid w:val="009C11B1"/>
    <w:rsid w:val="009C13F9"/>
    <w:rsid w:val="009C258D"/>
    <w:rsid w:val="009C402F"/>
    <w:rsid w:val="009C5A69"/>
    <w:rsid w:val="009D1437"/>
    <w:rsid w:val="009D587E"/>
    <w:rsid w:val="009D680A"/>
    <w:rsid w:val="009D7416"/>
    <w:rsid w:val="009D7E35"/>
    <w:rsid w:val="009E53A3"/>
    <w:rsid w:val="009E5AB7"/>
    <w:rsid w:val="009E65F6"/>
    <w:rsid w:val="009E74DA"/>
    <w:rsid w:val="009F18FD"/>
    <w:rsid w:val="009F2039"/>
    <w:rsid w:val="009F26A6"/>
    <w:rsid w:val="009F2D9A"/>
    <w:rsid w:val="009F2F09"/>
    <w:rsid w:val="009F4734"/>
    <w:rsid w:val="009F4B6B"/>
    <w:rsid w:val="009F58D0"/>
    <w:rsid w:val="009F79DC"/>
    <w:rsid w:val="009F7EF8"/>
    <w:rsid w:val="00A000F6"/>
    <w:rsid w:val="00A00DE4"/>
    <w:rsid w:val="00A00FA5"/>
    <w:rsid w:val="00A0302F"/>
    <w:rsid w:val="00A034D6"/>
    <w:rsid w:val="00A03B20"/>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087E"/>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257F"/>
    <w:rsid w:val="00A62A10"/>
    <w:rsid w:val="00A666DE"/>
    <w:rsid w:val="00A70210"/>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B6112"/>
    <w:rsid w:val="00AC372A"/>
    <w:rsid w:val="00AC6805"/>
    <w:rsid w:val="00AD0968"/>
    <w:rsid w:val="00AD1B0F"/>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4D7D"/>
    <w:rsid w:val="00B0598C"/>
    <w:rsid w:val="00B05C4B"/>
    <w:rsid w:val="00B05D21"/>
    <w:rsid w:val="00B10D6F"/>
    <w:rsid w:val="00B12317"/>
    <w:rsid w:val="00B124AA"/>
    <w:rsid w:val="00B142BB"/>
    <w:rsid w:val="00B15322"/>
    <w:rsid w:val="00B15A50"/>
    <w:rsid w:val="00B17C67"/>
    <w:rsid w:val="00B17E32"/>
    <w:rsid w:val="00B202E9"/>
    <w:rsid w:val="00B2081E"/>
    <w:rsid w:val="00B219FF"/>
    <w:rsid w:val="00B227C4"/>
    <w:rsid w:val="00B229A7"/>
    <w:rsid w:val="00B23112"/>
    <w:rsid w:val="00B23A76"/>
    <w:rsid w:val="00B269D8"/>
    <w:rsid w:val="00B26FFA"/>
    <w:rsid w:val="00B36A6C"/>
    <w:rsid w:val="00B40B55"/>
    <w:rsid w:val="00B412E2"/>
    <w:rsid w:val="00B415F0"/>
    <w:rsid w:val="00B416F1"/>
    <w:rsid w:val="00B421BD"/>
    <w:rsid w:val="00B429A5"/>
    <w:rsid w:val="00B4627C"/>
    <w:rsid w:val="00B47959"/>
    <w:rsid w:val="00B500C3"/>
    <w:rsid w:val="00B50C53"/>
    <w:rsid w:val="00B50DD5"/>
    <w:rsid w:val="00B544F0"/>
    <w:rsid w:val="00B545A7"/>
    <w:rsid w:val="00B60382"/>
    <w:rsid w:val="00B6158F"/>
    <w:rsid w:val="00B62374"/>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A7D81"/>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E7E8B"/>
    <w:rsid w:val="00BF7038"/>
    <w:rsid w:val="00BF7AAD"/>
    <w:rsid w:val="00C0001A"/>
    <w:rsid w:val="00C00074"/>
    <w:rsid w:val="00C001DF"/>
    <w:rsid w:val="00C00F1D"/>
    <w:rsid w:val="00C020A0"/>
    <w:rsid w:val="00C022F4"/>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6813"/>
    <w:rsid w:val="00C47C47"/>
    <w:rsid w:val="00C521FE"/>
    <w:rsid w:val="00C52A56"/>
    <w:rsid w:val="00C537D6"/>
    <w:rsid w:val="00C53B06"/>
    <w:rsid w:val="00C540BB"/>
    <w:rsid w:val="00C54CCA"/>
    <w:rsid w:val="00C54F22"/>
    <w:rsid w:val="00C55D84"/>
    <w:rsid w:val="00C56393"/>
    <w:rsid w:val="00C56BFB"/>
    <w:rsid w:val="00C6045C"/>
    <w:rsid w:val="00C6171B"/>
    <w:rsid w:val="00C61909"/>
    <w:rsid w:val="00C624D9"/>
    <w:rsid w:val="00C62A27"/>
    <w:rsid w:val="00C64580"/>
    <w:rsid w:val="00C64624"/>
    <w:rsid w:val="00C65E08"/>
    <w:rsid w:val="00C67192"/>
    <w:rsid w:val="00C703AD"/>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064E"/>
    <w:rsid w:val="00CA1B7B"/>
    <w:rsid w:val="00CA1CA8"/>
    <w:rsid w:val="00CA3591"/>
    <w:rsid w:val="00CA3E94"/>
    <w:rsid w:val="00CA406B"/>
    <w:rsid w:val="00CA6F4F"/>
    <w:rsid w:val="00CA748C"/>
    <w:rsid w:val="00CB0CB0"/>
    <w:rsid w:val="00CB0ED4"/>
    <w:rsid w:val="00CB1EFF"/>
    <w:rsid w:val="00CB2353"/>
    <w:rsid w:val="00CB4C4E"/>
    <w:rsid w:val="00CB5DCD"/>
    <w:rsid w:val="00CB6518"/>
    <w:rsid w:val="00CB682F"/>
    <w:rsid w:val="00CB739A"/>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94E"/>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02F"/>
    <w:rsid w:val="00D3783E"/>
    <w:rsid w:val="00D37A3C"/>
    <w:rsid w:val="00D411CD"/>
    <w:rsid w:val="00D41CFB"/>
    <w:rsid w:val="00D43903"/>
    <w:rsid w:val="00D43FD9"/>
    <w:rsid w:val="00D4408D"/>
    <w:rsid w:val="00D44CBD"/>
    <w:rsid w:val="00D45874"/>
    <w:rsid w:val="00D462A5"/>
    <w:rsid w:val="00D46755"/>
    <w:rsid w:val="00D46997"/>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5A49"/>
    <w:rsid w:val="00D76019"/>
    <w:rsid w:val="00D76B5F"/>
    <w:rsid w:val="00D77C4D"/>
    <w:rsid w:val="00D811D1"/>
    <w:rsid w:val="00D85123"/>
    <w:rsid w:val="00D85AF2"/>
    <w:rsid w:val="00D86B2D"/>
    <w:rsid w:val="00D91190"/>
    <w:rsid w:val="00D91D3F"/>
    <w:rsid w:val="00D91FDE"/>
    <w:rsid w:val="00D92722"/>
    <w:rsid w:val="00D975CB"/>
    <w:rsid w:val="00D9781D"/>
    <w:rsid w:val="00DA005F"/>
    <w:rsid w:val="00DA0942"/>
    <w:rsid w:val="00DA0D04"/>
    <w:rsid w:val="00DB11AA"/>
    <w:rsid w:val="00DB3EE7"/>
    <w:rsid w:val="00DB4191"/>
    <w:rsid w:val="00DB59D1"/>
    <w:rsid w:val="00DB7352"/>
    <w:rsid w:val="00DB7F2C"/>
    <w:rsid w:val="00DC17C3"/>
    <w:rsid w:val="00DC2CBA"/>
    <w:rsid w:val="00DC33A5"/>
    <w:rsid w:val="00DC33AD"/>
    <w:rsid w:val="00DC34D3"/>
    <w:rsid w:val="00DC36A6"/>
    <w:rsid w:val="00DC4940"/>
    <w:rsid w:val="00DC495A"/>
    <w:rsid w:val="00DC5266"/>
    <w:rsid w:val="00DD46A3"/>
    <w:rsid w:val="00DD50B4"/>
    <w:rsid w:val="00DD739B"/>
    <w:rsid w:val="00DD760F"/>
    <w:rsid w:val="00DE04D8"/>
    <w:rsid w:val="00DE0B28"/>
    <w:rsid w:val="00DE4B08"/>
    <w:rsid w:val="00DE6765"/>
    <w:rsid w:val="00DE6D97"/>
    <w:rsid w:val="00DE7014"/>
    <w:rsid w:val="00DE7BB8"/>
    <w:rsid w:val="00DE7C50"/>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357C"/>
    <w:rsid w:val="00E26992"/>
    <w:rsid w:val="00E30502"/>
    <w:rsid w:val="00E325C7"/>
    <w:rsid w:val="00E359B9"/>
    <w:rsid w:val="00E35E72"/>
    <w:rsid w:val="00E37B8A"/>
    <w:rsid w:val="00E41D82"/>
    <w:rsid w:val="00E42135"/>
    <w:rsid w:val="00E42492"/>
    <w:rsid w:val="00E426E5"/>
    <w:rsid w:val="00E43030"/>
    <w:rsid w:val="00E43A3A"/>
    <w:rsid w:val="00E43E6A"/>
    <w:rsid w:val="00E4464A"/>
    <w:rsid w:val="00E47137"/>
    <w:rsid w:val="00E50D68"/>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00DE"/>
    <w:rsid w:val="00EA2E1B"/>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B8B"/>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1A2"/>
    <w:rsid w:val="00F245F7"/>
    <w:rsid w:val="00F25DC2"/>
    <w:rsid w:val="00F30E9B"/>
    <w:rsid w:val="00F3442B"/>
    <w:rsid w:val="00F34C81"/>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41A8"/>
    <w:rsid w:val="00F85C49"/>
    <w:rsid w:val="00F873EA"/>
    <w:rsid w:val="00F9258D"/>
    <w:rsid w:val="00F925E2"/>
    <w:rsid w:val="00F93629"/>
    <w:rsid w:val="00F9525E"/>
    <w:rsid w:val="00F952C5"/>
    <w:rsid w:val="00F95643"/>
    <w:rsid w:val="00F96A43"/>
    <w:rsid w:val="00F96DD8"/>
    <w:rsid w:val="00F97429"/>
    <w:rsid w:val="00FA01D3"/>
    <w:rsid w:val="00FA2416"/>
    <w:rsid w:val="00FA31A5"/>
    <w:rsid w:val="00FA361C"/>
    <w:rsid w:val="00FA370C"/>
    <w:rsid w:val="00FA3C47"/>
    <w:rsid w:val="00FA4749"/>
    <w:rsid w:val="00FA53B1"/>
    <w:rsid w:val="00FA6F2C"/>
    <w:rsid w:val="00FB07B1"/>
    <w:rsid w:val="00FB0CC5"/>
    <w:rsid w:val="00FB0D21"/>
    <w:rsid w:val="00FB29FB"/>
    <w:rsid w:val="00FB31FA"/>
    <w:rsid w:val="00FB3BFF"/>
    <w:rsid w:val="00FB3EB6"/>
    <w:rsid w:val="00FB4459"/>
    <w:rsid w:val="00FB5D65"/>
    <w:rsid w:val="00FB6232"/>
    <w:rsid w:val="00FC1818"/>
    <w:rsid w:val="00FC1FA4"/>
    <w:rsid w:val="00FC2047"/>
    <w:rsid w:val="00FC2763"/>
    <w:rsid w:val="00FC322D"/>
    <w:rsid w:val="00FD13B7"/>
    <w:rsid w:val="00FD259F"/>
    <w:rsid w:val="00FD43DC"/>
    <w:rsid w:val="00FD56CC"/>
    <w:rsid w:val="00FD5A54"/>
    <w:rsid w:val="00FD5D76"/>
    <w:rsid w:val="00FD6067"/>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 w:val="00FF731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BFA2E5"/>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C7A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CA6F4F"/>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D811D1"/>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A2E1B"/>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762612"/>
  </w:style>
  <w:style w:type="character" w:customStyle="1" w:styleId="eop">
    <w:name w:val="eop"/>
    <w:basedOn w:val="Fuentedeprrafopredeter"/>
    <w:rsid w:val="00762612"/>
  </w:style>
  <w:style w:type="paragraph" w:styleId="Revisin">
    <w:name w:val="Revision"/>
    <w:hidden/>
    <w:uiPriority w:val="99"/>
    <w:semiHidden/>
    <w:rsid w:val="00922BD0"/>
    <w:rPr>
      <w:sz w:val="24"/>
      <w:szCs w:val="24"/>
      <w:lang w:val="es-ES" w:eastAsia="es-ES"/>
    </w:rPr>
  </w:style>
  <w:style w:type="paragraph" w:customStyle="1" w:styleId="paragraph">
    <w:name w:val="paragraph"/>
    <w:basedOn w:val="Normal"/>
    <w:rsid w:val="00922BD0"/>
    <w:pPr>
      <w:spacing w:before="100" w:beforeAutospacing="1" w:after="100" w:afterAutospacing="1"/>
    </w:pPr>
    <w:rPr>
      <w:lang w:val="es-CR" w:eastAsia="es-CR"/>
    </w:rPr>
  </w:style>
  <w:style w:type="character" w:customStyle="1" w:styleId="spellingerror">
    <w:name w:val="spellingerror"/>
    <w:basedOn w:val="Fuentedeprrafopredeter"/>
    <w:rsid w:val="00922BD0"/>
  </w:style>
  <w:style w:type="paragraph" w:styleId="Subttulo">
    <w:name w:val="Subtitle"/>
    <w:basedOn w:val="Normal"/>
    <w:next w:val="Normal"/>
    <w:link w:val="SubttuloCar"/>
    <w:rsid w:val="00922BD0"/>
    <w:pPr>
      <w:spacing w:after="160" w:line="360" w:lineRule="auto"/>
      <w:jc w:val="both"/>
    </w:pPr>
    <w:rPr>
      <w:rFonts w:ascii="Arial" w:eastAsia="Arial" w:hAnsi="Arial" w:cs="Arial"/>
      <w:b/>
      <w:lang w:val="es-CR" w:eastAsia="es-CR"/>
    </w:rPr>
  </w:style>
  <w:style w:type="character" w:customStyle="1" w:styleId="SubttuloCar">
    <w:name w:val="Subtítulo Car"/>
    <w:basedOn w:val="Fuentedeprrafopredeter"/>
    <w:link w:val="Subttulo"/>
    <w:rsid w:val="00922BD0"/>
    <w:rPr>
      <w:rFonts w:ascii="Arial" w:eastAsia="Arial" w:hAnsi="Arial" w:cs="Arial"/>
      <w:b/>
      <w:sz w:val="24"/>
      <w:szCs w:val="24"/>
    </w:rPr>
  </w:style>
  <w:style w:type="paragraph" w:styleId="Textonotaalfinal">
    <w:name w:val="endnote text"/>
    <w:basedOn w:val="Normal"/>
    <w:link w:val="TextonotaalfinalCar"/>
    <w:rsid w:val="00922BD0"/>
    <w:rPr>
      <w:sz w:val="20"/>
      <w:szCs w:val="20"/>
    </w:rPr>
  </w:style>
  <w:style w:type="character" w:customStyle="1" w:styleId="TextonotaalfinalCar">
    <w:name w:val="Texto nota al final Car"/>
    <w:basedOn w:val="Fuentedeprrafopredeter"/>
    <w:link w:val="Textonotaalfinal"/>
    <w:rsid w:val="00922BD0"/>
    <w:rPr>
      <w:lang w:val="es-ES" w:eastAsia="es-ES"/>
    </w:rPr>
  </w:style>
  <w:style w:type="character" w:styleId="Refdenotaalfinal">
    <w:name w:val="endnote reference"/>
    <w:basedOn w:val="Fuentedeprrafopredeter"/>
    <w:rsid w:val="00922BD0"/>
    <w:rPr>
      <w:vertAlign w:val="superscript"/>
    </w:rPr>
  </w:style>
  <w:style w:type="table" w:customStyle="1" w:styleId="Tablaconcuadrcula31">
    <w:name w:val="Tabla con cuadrícula31"/>
    <w:basedOn w:val="Tablanormal"/>
    <w:next w:val="Tablaconcuadrcula"/>
    <w:uiPriority w:val="39"/>
    <w:rsid w:val="00922B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nfasis11">
    <w:name w:val="Tabla de cuadrícula 2 - Énfasis 11"/>
    <w:basedOn w:val="Tablanormal"/>
    <w:next w:val="Tabladecuadrcula2-nfasis1"/>
    <w:uiPriority w:val="47"/>
    <w:rsid w:val="002B0374"/>
    <w:rPr>
      <w:rFonts w:ascii="Calibri" w:eastAsia="Calibri" w:hAnsi="Calibri"/>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ladecuadrcula2-nfasis1">
    <w:name w:val="Grid Table 2 Accent 1"/>
    <w:basedOn w:val="Tablanormal"/>
    <w:uiPriority w:val="47"/>
    <w:rsid w:val="002B0374"/>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15">
    <w:name w:val="Tabla con cuadrícula15"/>
    <w:basedOn w:val="Tablanormal"/>
    <w:next w:val="Tablaconcuadrcula"/>
    <w:uiPriority w:val="39"/>
    <w:rsid w:val="001179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3">
    <w:name w:val="Grid Table 1 Light Accent 3"/>
    <w:basedOn w:val="Tablanormal"/>
    <w:uiPriority w:val="46"/>
    <w:rsid w:val="0011796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18166725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66105203">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01038587">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4D506-8A91-4CAB-8CD0-FA8CBFEED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8</Pages>
  <Words>2380</Words>
  <Characters>13098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Damaris Quesada Murillo</cp:lastModifiedBy>
  <cp:revision>235</cp:revision>
  <cp:lastPrinted>2019-08-14T19:53:00Z</cp:lastPrinted>
  <dcterms:created xsi:type="dcterms:W3CDTF">2018-05-02T21:37:00Z</dcterms:created>
  <dcterms:modified xsi:type="dcterms:W3CDTF">2019-11-20T21:02:00Z</dcterms:modified>
</cp:coreProperties>
</file>