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34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SCI-207-2009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23 de abril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10.0" w:type="dxa"/>
        <w:jc w:val="left"/>
        <w:tblInd w:w="-70.0" w:type="dxa"/>
        <w:tblLayout w:type="fixed"/>
        <w:tblLook w:val="0000"/>
      </w:tblPr>
      <w:tblGrid>
        <w:gridCol w:w="1346"/>
        <w:gridCol w:w="8264"/>
        <w:tblGridChange w:id="0">
          <w:tblGrid>
            <w:gridCol w:w="1346"/>
            <w:gridCol w:w="826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Dr. Dagoberto Arias Aguilar, Rector 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Lic. Luis Fernando Campos Montes, Gerente Área Servicios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Dirección Fiscalización Operativa y Evaluativa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Contraloría General de la República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MAE. Bernal Martínez Gutiérrez, Vicerrector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M.B.A Jorge Mena Calderón, Director Departamento de Financiero 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2604, Artículo 8, del 23 de abril del 2009.  “Informe de Ejecución Presupuestaria al 31 de marzo del 2009”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CONSIDERANDO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La Secretaría del Consejo Institucional recibió el Oficio VAD-108-2009, con fecha 14 de abril del 2009, suscrito por el MAE. Bernal Martínez Gutiérrez, Vicerrector de Administración, dirigido a la MBA. Sonia Barboza F., Coordinadora de la Comisión de Planificación y Administración, en el cual adjunta el Informe de Ejecución Presupuestaria al 31 de marzo del 2009.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La Comisión de Planificación y Administración en la reunión celebrada el 17 de abril del 2009, analizó el documento denominado: Informe de Ejecución Presupuestaria al 31 de marzo del 2009” y dispuso solicitar a la Auditoría Interna el respectivo criterio.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Mediante oficio SCI-200-2009, con fecha 20 de abril del 2009, dirigido al Lic. Isidro Álvarez S., Auditor Interno, la Comisión de Planificación y Administración solicitó el respectivo criterio, con el fin de contar con el mismo en la discusión del tema en la Sesión del Consejo Institucional.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La Secretaría del Consejo Institucional recibió con fecha 20 de abril del 2009, el Oficio AUDI-093-2009, suscrito por el Lic. Isidro Álvarez S., Auditor Interno, en el cual remite el “Informe AUDI-AS-004-2009 “Observaciones al Informe de Ejecución Presupuestaria al 30 de marzo del 2009”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0"/>
          <w:sz w:val="18"/>
          <w:szCs w:val="1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Sesión No. 2603, Artículo 8 del 23 de abril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La Secretaría del Consejo Institucional recibió el Oficio DFC-756-09, con fecha 21 de abril del 2009, suscrito por el M.B.A Jorge Mena Calderón, Director Departamento de Financiero Contable, dirigido  a la MSc. Sonia  Barboza Flores, Coordinadora Comisión  de  Administración  y  Planificación, en el  cual  remite  respuesta  al  oficio AUDI-198-2009, sobre “Observaciones al Informe de Ejecución Presupuestaria al 31 de marzo del 2009”.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80" w:hanging="48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La Secretaría del Consejo Institucional recibió el Oficio AUDI-096-2009, con fecha 23 de abril del 2009, suscrito por el Lic. Isidro Álvarez Salazar, Auditor Interno, dirigido a la MSc. Sonia Barboza Flores, Coordinadora Comisión de Administración y Planificación, en el cual solicita actualizar la información consigna en el punto 3.2 Sobre los egresos relativo al Programa N° 2, en el oficio AUDI-093-2009 del 20 de abril del 2009 referido a las “Observaciones al Informe de Ejecución Presupuestaria al 31 de marzo del 2009”.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4"/>
          <w:szCs w:val="24"/>
          <w:vertAlign w:val="baseline"/>
          <w:rtl w:val="0"/>
        </w:rPr>
        <w:t xml:space="preserve">SE PROPONE: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Dar por conocido el Informe de Ejecución Presupuestaria al 31 de marzo del 2009, según el documento adjunto.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Solicitar a la Administración atender las observaciones de la Auditoría Interna, presentadas en el “Informe AUDI-AS-004-2009 “Observaciones al Informe de Ejecución Presupuestaria al 30 de marzo del 2009”.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Solicitar a la Administración presentar en un plazo de 15 días hábiles ante el pleno del Consejo Institucional, los escenarios presupuestarios posibles a los que se enfrentará la Institución para el resto del año 2009 ante el ajuste en el superávit  por la sobreestimación de ¢ 2,440,259.95 miles para el año 2008, y las estimaciones de ajuste en el presupuesto 2009 según los nuevos cálculos del PIB y la tasa de inflación.  Asimismo deberán presentar el plan respectivo para evitar que se presente un déficit al finalizar el período presupuestario.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Remitir el Informe a la Contraloría General de la República.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ACUERDO FIRME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BSS/apmc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ci.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Oficina de Prensa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