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SCI-375-2009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18 de junio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MAE. Jorge Mena, Director Depto.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Lic. Walter Sequeira, Dirección de Aprovisionamiento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2613, Artículo 8, del 18 de junio del 2009. “Autorización de viaje y pago de viáticos al MSc. Eugenio Trejos, Rector, para que asista a la XII Jornadas Nacional de Investigadores en Economía Social con el tema “La crisis social”, por realizarse en España auspiciada por el CIRIE, a la Conferencia Mundial de Educación Superior 2009 “Las nuevas dinámicas de la Educación Superior y de la Investigación para el cambio social y el desarrollo”, por celebrarse en París, auspiciada por CONARE, así como participar en varias reuniones en las universidades: Politécnica de Madrid, Universidad de Valencia, Complutense, Alcalá de Henares, entre otras, del 23 de junio al 11 de julio del 2009</w:t>
            </w:r>
            <w:r w:rsidDel="00000000" w:rsidR="00000000" w:rsidRPr="00000000">
              <w:rPr>
                <w:b w:val="1"/>
                <w:i w:val="0"/>
                <w:sz w:val="22"/>
                <w:szCs w:val="22"/>
                <w:vertAlign w:val="baseline"/>
                <w:rtl w:val="0"/>
              </w:rPr>
              <w:t xml:space="preserve">”</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i w:val="0"/>
          <w:sz w:val="24"/>
          <w:szCs w:val="24"/>
          <w:vertAlign w:val="baseline"/>
          <w:rtl w:val="0"/>
        </w:rPr>
        <w:t xml:space="preserve">La  Secretaría  del  Consejo  Institucional,  con  fecha  15 de junio del 2009, recibió Oficio R-453-2009, suscrito por el M.Sc. Eugenio Trejos B., Rector, dirigido a la Licda. Bertalía Sánchez Salas, Directora Ejecutiva de la Secretaría del Consejo Institucional, en el cual remite, para consideración y aprobación del Consejo Institucional, solicitud de salida del país y pago de viáticos, para atender para atender como Rector y miembro del Consejo Nacional de Rectores (CONARE), las siguientes actividades académicas: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Del 24 al 26 de junio en Murcia, España, participará, en calidad de ponente, en las XII Jornadas Nacionales de Investigadores en Economía Social, cuyo el tema es “</w:t>
      </w:r>
      <w:r w:rsidDel="00000000" w:rsidR="00000000" w:rsidRPr="00000000">
        <w:rPr>
          <w:i w:val="0"/>
          <w:color w:val="000000"/>
          <w:sz w:val="24"/>
          <w:szCs w:val="24"/>
          <w:vertAlign w:val="baseline"/>
          <w:rtl w:val="0"/>
        </w:rPr>
        <w:t xml:space="preserve">La crisis como oportunidad para la economía social”.  </w:t>
      </w:r>
      <w:r w:rsidDel="00000000" w:rsidR="00000000" w:rsidRPr="00000000">
        <w:rPr>
          <w:i w:val="0"/>
          <w:sz w:val="24"/>
          <w:szCs w:val="24"/>
          <w:vertAlign w:val="baseline"/>
          <w:rtl w:val="0"/>
        </w:rPr>
        <w:t xml:space="preserve"> En esta jornada presentaré la ponencia “Economía del Desarrollo y Visión de Costa Rica ante la situación de Crisis Mundial, sus efectos en la Economía Social del País”.   Este evento es  auspiciado por el Centro Internacional de Investigación e información sobre la economía pública, social y cooperativa (CIRIEC)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El 29 de junio en Valencia, España, reunión en compañía del Ing. Fonseca y de la Ing. Raquel Lafuente, Profesores de la Escuela de Producción Industrial del ITCR, con el Dr. Juan Miguel Martínez, Vicerrector de Cooperación y Relaciones institucionales de Universidad Politécnica de Valencia (UPV), y el Dr.  Gumersindo  Verdú, Director   de   Área  de  Acción  Internacional  de  esa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2613, Artículo 8, del 18 de junio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0"/>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i w:val="0"/>
          <w:sz w:val="24"/>
          <w:szCs w:val="24"/>
          <w:vertAlign w:val="baseline"/>
          <w:rtl w:val="0"/>
        </w:rPr>
        <w:t xml:space="preserve">Universidad.  Ello con el propósito de brindarle seguimiento al proceso de elaboración de la Propuesta de la Maestría en Gestión de la Tecnología y la Innovación. Auspiciada por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30 de junio en Valencia.  Reunión con el Dr. Rafael Fernández, Director de la Escuela de Dirección de Empresas de la Universidad de Valencia (UV), con el propósito de brindarle seguimiento al programa de formación de Doctores en Dirección de Empresas que se realiza en Costa Rica en el marco del Convenio suscrito entre esa universidad y las cuatro universidades estatales que conformamos el CONARE.  Auspiciada por el ITCR.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color w:val="000000"/>
          <w:sz w:val="24"/>
          <w:szCs w:val="24"/>
          <w:vertAlign w:val="baseline"/>
          <w:rtl w:val="0"/>
        </w:rPr>
        <w:t xml:space="preserve">1 de julio en Madrid. Reunión  en la Universidad Complutense de Madrid con  el Rector Dr. Carlos Berzosa. Auspiciada por el ITCR.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2 </w:t>
      </w:r>
      <w:r w:rsidDel="00000000" w:rsidR="00000000" w:rsidRPr="00000000">
        <w:rPr>
          <w:i w:val="0"/>
          <w:color w:val="000000"/>
          <w:sz w:val="24"/>
          <w:szCs w:val="24"/>
          <w:vertAlign w:val="baseline"/>
          <w:rtl w:val="0"/>
        </w:rPr>
        <w:t xml:space="preserve">de julio en Madrid. Reunión con la Sra. Victoria Wuff, en la sede de  </w:t>
      </w:r>
      <w:r w:rsidDel="00000000" w:rsidR="00000000" w:rsidRPr="00000000">
        <w:rPr>
          <w:b w:val="0"/>
          <w:i w:val="0"/>
          <w:color w:val="000000"/>
          <w:sz w:val="24"/>
          <w:szCs w:val="24"/>
          <w:vertAlign w:val="baseline"/>
          <w:rtl w:val="0"/>
        </w:rPr>
        <w:t xml:space="preserve">Agencia Española de Cooperación Internacional para el Desarrollo </w:t>
      </w:r>
      <w:r w:rsidDel="00000000" w:rsidR="00000000" w:rsidRPr="00000000">
        <w:rPr>
          <w:b w:val="1"/>
          <w:i w:val="0"/>
          <w:color w:val="000000"/>
          <w:sz w:val="24"/>
          <w:szCs w:val="24"/>
          <w:vertAlign w:val="baseline"/>
          <w:rtl w:val="0"/>
        </w:rPr>
        <w:t xml:space="preserve">(</w:t>
      </w:r>
      <w:r w:rsidDel="00000000" w:rsidR="00000000" w:rsidRPr="00000000">
        <w:rPr>
          <w:i w:val="0"/>
          <w:color w:val="000000"/>
          <w:sz w:val="24"/>
          <w:szCs w:val="24"/>
          <w:vertAlign w:val="baseline"/>
          <w:rtl w:val="0"/>
        </w:rPr>
        <w:t xml:space="preserve">AECID).  Auspiciada por el ITCR. Para darle seguimiento a la firma del Convenio General de la Red Interuniversitaria de Cooperación para el Desarrollo de Centroamérica (Red GIRA).  A esta reunión me  acompaña el Dr.  Armando del Romero, Coordinador del </w:t>
      </w:r>
      <w:r w:rsidDel="00000000" w:rsidR="00000000" w:rsidRPr="00000000">
        <w:rPr>
          <w:b w:val="0"/>
          <w:i w:val="0"/>
          <w:color w:val="000000"/>
          <w:sz w:val="24"/>
          <w:szCs w:val="24"/>
          <w:vertAlign w:val="baseline"/>
          <w:rtl w:val="0"/>
        </w:rPr>
        <w:t xml:space="preserve">Programa de Cooperación con Centroamérica</w:t>
      </w:r>
      <w:r w:rsidDel="00000000" w:rsidR="00000000" w:rsidRPr="00000000">
        <w:rPr>
          <w:b w:val="1"/>
          <w:i w:val="0"/>
          <w:color w:val="000000"/>
          <w:sz w:val="24"/>
          <w:szCs w:val="24"/>
          <w:vertAlign w:val="baseline"/>
          <w:rtl w:val="0"/>
        </w:rPr>
        <w:t xml:space="preserve"> </w:t>
      </w:r>
      <w:r w:rsidDel="00000000" w:rsidR="00000000" w:rsidRPr="00000000">
        <w:rPr>
          <w:i w:val="0"/>
          <w:color w:val="000000"/>
          <w:sz w:val="24"/>
          <w:szCs w:val="24"/>
          <w:vertAlign w:val="baseline"/>
          <w:rtl w:val="0"/>
        </w:rPr>
        <w:t xml:space="preserve">de la Universidad de Alcalá de Henares.   Auspiciada por el ITCR.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bookmarkStart w:colFirst="0" w:colLast="0" w:name="gjdgxs" w:id="0"/>
      <w:bookmarkEnd w:id="0"/>
      <w:r w:rsidDel="00000000" w:rsidR="00000000" w:rsidRPr="00000000">
        <w:rPr>
          <w:i w:val="0"/>
          <w:sz w:val="24"/>
          <w:szCs w:val="24"/>
          <w:vertAlign w:val="baseline"/>
          <w:rtl w:val="0"/>
        </w:rPr>
        <w:t xml:space="preserve">Reunión en compañía del Ing. Leonel Fonseca y de la Ing. Raquel Lafuente, con el Dr. Ignacio Fernández de Lucio, Director del Programa INGENIO de la UPV, y con personeros de la Organización de Estados Iberoamericanos (OEI), con el propósito de precisar y formalizar el apoyo económico ofrecido en cuanto a montos y plazos por parte de ese organismo al Programa de Maestría en Gestión de la Tecnología y la Innovación. La OEI propone que mediante la formación de una red liderada por el ITCR, se ofrezca la maestría en la Región Centroamericana. Auspiciada por el ITCR.</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3 de julio.  Reunión con el Sr. Joaquín Ibañez Montoya, de  la Universidad Politécnica de Madrid,  para conversar sobre el avance de la propuesta de la Maestría Centroamericana  en Conversación y Gestión del Patrimonio Cultural para el Desarrollo, propuesta por la Escuela de Arquitectura.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Reunión con el Dr. Armando del Romero, </w:t>
      </w:r>
      <w:r w:rsidDel="00000000" w:rsidR="00000000" w:rsidRPr="00000000">
        <w:rPr>
          <w:i w:val="0"/>
          <w:color w:val="000000"/>
          <w:sz w:val="24"/>
          <w:szCs w:val="24"/>
          <w:vertAlign w:val="baseline"/>
          <w:rtl w:val="0"/>
        </w:rPr>
        <w:t xml:space="preserve">Coordinador del </w:t>
      </w:r>
      <w:r w:rsidDel="00000000" w:rsidR="00000000" w:rsidRPr="00000000">
        <w:rPr>
          <w:b w:val="0"/>
          <w:i w:val="0"/>
          <w:color w:val="000000"/>
          <w:sz w:val="24"/>
          <w:szCs w:val="24"/>
          <w:vertAlign w:val="baseline"/>
          <w:rtl w:val="0"/>
        </w:rPr>
        <w:t xml:space="preserve">Programa de Cooperación con Centroamérica</w:t>
      </w:r>
      <w:r w:rsidDel="00000000" w:rsidR="00000000" w:rsidRPr="00000000">
        <w:rPr>
          <w:b w:val="1"/>
          <w:i w:val="0"/>
          <w:color w:val="000000"/>
          <w:sz w:val="24"/>
          <w:szCs w:val="24"/>
          <w:vertAlign w:val="baseline"/>
          <w:rtl w:val="0"/>
        </w:rPr>
        <w:t xml:space="preserve"> </w:t>
      </w:r>
      <w:r w:rsidDel="00000000" w:rsidR="00000000" w:rsidRPr="00000000">
        <w:rPr>
          <w:i w:val="0"/>
          <w:color w:val="000000"/>
          <w:sz w:val="24"/>
          <w:szCs w:val="24"/>
          <w:vertAlign w:val="baseline"/>
          <w:rtl w:val="0"/>
        </w:rPr>
        <w:t xml:space="preserve">de la Universidad de Alcalá de Henares</w:t>
      </w:r>
      <w:r w:rsidDel="00000000" w:rsidR="00000000" w:rsidRPr="00000000">
        <w:rPr>
          <w:i w:val="0"/>
          <w:sz w:val="24"/>
          <w:szCs w:val="24"/>
          <w:vertAlign w:val="baseline"/>
          <w:rtl w:val="0"/>
        </w:rPr>
        <w:t xml:space="preserve">, para darle seguimiento a los proyectos de la red GIRA.  Asimismo, coordinar la próxima reunión de red, que se realizará en Costa Rica los días 27 y 28 de julio.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2613, Artículo 8, del 18 de junio del 2009</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i w:val="0"/>
          <w:sz w:val="18"/>
          <w:szCs w:val="18"/>
          <w:vertAlign w:val="baseline"/>
          <w:rtl w:val="0"/>
        </w:rPr>
        <w:t xml:space="preserve">Página 3</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Reunión  con el Dr. Juan Antonio Rubio, Director del Centro de Investigaciones Energéticas Medioambientales y Tecnológicas (CIEMAT).  Con el objetivo de fortalecer vínculos de colaboración científica que existen actualmente con el Centro de Investigaciones Energéticas Medioambientales y Tecnológicas, suscrito el año pasado con el propósito de potenciar la cooperación en investigación sobre plasmas de fusión termonuclear por confinamiento magnético.  A esta reunión me acompaña el Dr. Iván Vargas, de la Escuela de Física, quien estará en el CIEMAT, junto con cinco estudiantes del ITCR, en el Laboratorio Nacional de Fusión, realizando una pasantía  con el proyecto de investigación “Construcción de un dispositivo experimental de confinamiento magnético del plasma de bajo costo y pequeña escala llamado SCR-1 (Stellarator de Costa Rica 1).  Auspiciada por 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Del 6 al 8 de julio participará en París, Francia, en la Conferencia Mundial sobre Educación Superior 2009 “Las Nuevas Dinámicas de la Educación superior y de la Investigación para el Cambio Social y el Desarrollo”, convocada por la UNESCO.   Auspiciada por CONARE.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9 de Julio.  Visita  al Instituto TELECOM Bretagne, París. Firma del Convenio Marco de Cooperación entre  el Instituto Telecom Bretagne y el ITCR.  El Instituto TELECOM tiene como misiones la enseñanza superior y la investigación en el campo de las ciencias y tecnologías de la información y comunicación.  Asimismo, es uno de los primeros laboratorios públicos de investigación en tecnologías de la información y comunicación.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Visita al Instituto Pasteur; con el fin de buscar  contacto para obtener apoyo para proyectos conjuntos de investigación en el área de biotecnología.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jc w:val="both"/>
        <w:rPr>
          <w:b w:val="0"/>
          <w:i w:val="0"/>
          <w:sz w:val="24"/>
          <w:szCs w:val="24"/>
        </w:rPr>
      </w:pPr>
      <w:r w:rsidDel="00000000" w:rsidR="00000000" w:rsidRPr="00000000">
        <w:rPr>
          <w:i w:val="0"/>
          <w:sz w:val="24"/>
          <w:szCs w:val="24"/>
          <w:vertAlign w:val="baseline"/>
          <w:rtl w:val="0"/>
        </w:rPr>
        <w:t xml:space="preserve">Visita a la Embajada de Costa Rica en la UNESCO, París, con el fin de explorar posibles contactos y financiamientos para centros de investigación. Asimismo, darle seguimiento a la Cátedra UNESCO, la cual ha sido atendida por la Escuela de Ingeniería en Computación.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i w:val="0"/>
          <w:sz w:val="24"/>
          <w:szCs w:val="24"/>
          <w:vertAlign w:val="baseline"/>
          <w:rtl w:val="0"/>
        </w:rPr>
        <w:t xml:space="preserve">Los tiquetes aéreos de ida y regreso San José–España-Francia, el seguro de viaje, así como los gastos de alimentación y hospedaje durante los días de la realización de la Conferencia de la UNESCO en París, serán cubiertos por el CONARE y de igual manera, el hospedaje y la alimentación durante la XII Jornadas Nacionales de Investigadores en Economía Social, serán cubiertos por el CIRIEC.  Quedando únicamente al descubierto los días en los que se desplaza de una ciudad a otra en el interior de España; es decir, de Cartagena a Valencia, y de Valencia a Madrid.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2613, Artículo 8, del 18 de junio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0"/>
          <w:sz w:val="18"/>
          <w:szCs w:val="18"/>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i w:val="0"/>
          <w:sz w:val="24"/>
          <w:szCs w:val="24"/>
          <w:vertAlign w:val="baseline"/>
          <w:rtl w:val="0"/>
        </w:rPr>
        <w:t xml:space="preserve">Solicita el pago de viáticos de ley  correspondientes a los días 23, 27, 28, 29, y 30 de junio; 1º, 2, 3,  4 y 9 de julio del 2009, por un monto de $3747 (tres mil setecientos   cuarenta   y   siete   dólares);  gastos   de   representación  por  $700 (setecientos dólares); y $400 (cuatrocientos dólares) para transporte interno, (tiquetes aéreos Madrid-Murcia y Valencia- Madrid; así como pago de taxi, autobús o tren en esos lugares).  Se detallan los centros de costo, objetos de gastos y montos: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i w:val="0"/>
          <w:sz w:val="24"/>
          <w:szCs w:val="24"/>
          <w:vertAlign w:val="baseline"/>
          <w:rtl w:val="0"/>
        </w:rPr>
        <w:t xml:space="preserve">Informa además, que del  10 al 11 de julio,  tomará vacaciones fuera del país, por lo que el Dr. Dagoberto Arias Aguilar, Vicerrector de Investigación y Extensión, lo sustituirá  en forma interina del 23 de junio al 11 de julio inclusive.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ACUERDA: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4"/>
          <w:szCs w:val="24"/>
          <w:vertAlign w:val="baseline"/>
          <w:rtl w:val="0"/>
        </w:rPr>
        <w:t xml:space="preserve">Autorizar al MSc. Eugenio Trejos Benavides, Rector, para que viaje a España y Francia a participar en todas las actividades indicadas en el considerando N</w:t>
      </w:r>
      <w:r w:rsidDel="00000000" w:rsidR="00000000" w:rsidRPr="00000000">
        <w:rPr>
          <w:i w:val="0"/>
          <w:sz w:val="24"/>
          <w:szCs w:val="24"/>
          <w:vertAlign w:val="superscript"/>
          <w:rtl w:val="0"/>
        </w:rPr>
        <w:t xml:space="preserve">o </w:t>
      </w:r>
      <w:r w:rsidDel="00000000" w:rsidR="00000000" w:rsidRPr="00000000">
        <w:rPr>
          <w:i w:val="0"/>
          <w:sz w:val="24"/>
          <w:szCs w:val="24"/>
          <w:vertAlign w:val="baseline"/>
          <w:rtl w:val="0"/>
        </w:rPr>
        <w:t xml:space="preserve">1, del 23 de junio al 11 de julio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4"/>
          <w:szCs w:val="24"/>
          <w:vertAlign w:val="baseline"/>
          <w:rtl w:val="0"/>
        </w:rPr>
        <w:t xml:space="preserve">Otorgar el pago de viáticos de ley correspondientes a los días 23, 27, 28, 29; 30 de junio y 1º, 2, 3,  4 y 9 de julio del 2009, por un monto de $4.847 (cuatro mil ochocientos cuarenta y siete dólares),  tomados del presupuesto de la Rectoría distribuidos de la siguiente manera: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175.999999999999"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4"/>
        <w:gridCol w:w="4322"/>
        <w:tblGridChange w:id="0">
          <w:tblGrid>
            <w:gridCol w:w="3854"/>
            <w:gridCol w:w="4322"/>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i w:val="0"/>
                <w:sz w:val="24"/>
                <w:szCs w:val="24"/>
                <w:vertAlign w:val="baseline"/>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i w:val="0"/>
                <w:sz w:val="24"/>
                <w:szCs w:val="24"/>
                <w:vertAlign w:val="baseline"/>
                <w:rtl w:val="0"/>
              </w:rPr>
              <w:t xml:space="preserve">Monto</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i w:val="0"/>
                <w:sz w:val="24"/>
                <w:szCs w:val="24"/>
                <w:vertAlign w:val="baseline"/>
                <w:rtl w:val="0"/>
              </w:rPr>
              <w:t xml:space="preserve">5101-1111- 0001 objeto de gasto 1540 (Viáticos en el exterior-Ayuda económica)</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i w:val="0"/>
                <w:sz w:val="24"/>
                <w:szCs w:val="24"/>
                <w:vertAlign w:val="baseline"/>
                <w:rtl w:val="0"/>
              </w:rPr>
              <w:t xml:space="preserve">$3747</w:t>
            </w:r>
            <w:r w:rsidDel="00000000" w:rsidR="00000000" w:rsidRPr="00000000">
              <w:rPr>
                <w:rtl w:val="0"/>
              </w:rPr>
            </w:r>
          </w:p>
        </w:tc>
      </w:tr>
      <w:tr>
        <w:tc>
          <w:tcPr/>
          <w:p w:rsidR="00000000" w:rsidDel="00000000" w:rsidP="00000000" w:rsidRDefault="00000000" w:rsidRPr="00000000">
            <w:pPr>
              <w:tabs>
                <w:tab w:val="right" w:pos="2410"/>
                <w:tab w:val="left" w:pos="2694"/>
              </w:tabs>
              <w:contextualSpacing w:val="0"/>
              <w:jc w:val="both"/>
            </w:pPr>
            <w:r w:rsidDel="00000000" w:rsidR="00000000" w:rsidRPr="00000000">
              <w:rPr>
                <w:i w:val="0"/>
                <w:sz w:val="24"/>
                <w:szCs w:val="24"/>
                <w:vertAlign w:val="baseline"/>
                <w:rtl w:val="0"/>
              </w:rPr>
              <w:t xml:space="preserve">5101-1111-0001 objeto de gasto 1730 (gastos de representación)</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i w:val="0"/>
                <w:sz w:val="24"/>
                <w:szCs w:val="24"/>
                <w:vertAlign w:val="baseline"/>
                <w:rtl w:val="0"/>
              </w:rPr>
              <w:t xml:space="preserve">$700</w:t>
            </w:r>
            <w:r w:rsidDel="00000000" w:rsidR="00000000" w:rsidRPr="00000000">
              <w:rPr>
                <w:rtl w:val="0"/>
              </w:rPr>
            </w:r>
          </w:p>
        </w:tc>
      </w:tr>
      <w:tr>
        <w:tc>
          <w:tcPr/>
          <w:p w:rsidR="00000000" w:rsidDel="00000000" w:rsidP="00000000" w:rsidRDefault="00000000" w:rsidRPr="00000000">
            <w:pPr>
              <w:tabs>
                <w:tab w:val="left" w:pos="720"/>
                <w:tab w:val="right" w:pos="2410"/>
                <w:tab w:val="left" w:pos="2694"/>
              </w:tabs>
              <w:contextualSpacing w:val="0"/>
              <w:jc w:val="both"/>
            </w:pPr>
            <w:r w:rsidDel="00000000" w:rsidR="00000000" w:rsidRPr="00000000">
              <w:rPr>
                <w:i w:val="0"/>
                <w:sz w:val="24"/>
                <w:szCs w:val="24"/>
                <w:vertAlign w:val="baseline"/>
                <w:rtl w:val="0"/>
              </w:rPr>
              <w:t xml:space="preserve">5101-1111-0001 objeto de gasto 1530  (transporte en el exterior). Tiquetes de Madrid-Murcia Valencia-Madrid, así como pago de taxi, autobús o tren. Se  incluyen los impuestos de salida de Costa Rica-España</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i w:val="0"/>
                <w:sz w:val="24"/>
                <w:szCs w:val="24"/>
                <w:vertAlign w:val="baseline"/>
                <w:rtl w:val="0"/>
              </w:rPr>
              <w:t xml:space="preserve">$400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4"/>
          <w:szCs w:val="24"/>
          <w:vertAlign w:val="baseline"/>
          <w:rtl w:val="0"/>
        </w:rPr>
        <w:t xml:space="preserve">Solicitar al MSc. Eugenio Trejos, Rector, entregar al Consejo Institucional un informe de su participación en las distintas actividades, 15 días después de su regreso.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