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keepNext w:val="1"/>
        <w:tabs>
          <w:tab w:val="left" w:pos="3686"/>
        </w:tabs>
        <w:spacing w:after="0" w:before="0" w:line="240" w:lineRule="auto"/>
        <w:ind w:right="51"/>
        <w:contextualSpacing w:val="0"/>
        <w:jc w:val="right"/>
      </w:pPr>
      <w:r w:rsidDel="00000000" w:rsidR="00000000" w:rsidRPr="00000000">
        <w:rPr>
          <w:rFonts w:ascii="Arial" w:cs="Arial" w:eastAsia="Arial" w:hAnsi="Arial"/>
          <w:b w:val="1"/>
          <w:sz w:val="20"/>
          <w:szCs w:val="20"/>
          <w:vertAlign w:val="baseline"/>
          <w:rtl w:val="0"/>
        </w:rPr>
        <w:t xml:space="preserve">SCI-06-2001</w:t>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29 de enero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ML. Gabriel Vargas A., Vicerrector de Vida Estudiantil y Servicios Académicos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MBA. William Vives Brenes, Director Departamento Admisión y Registro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MBA. José Rafael Hidalgo, Miembro del Consejo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2155, Artículo 3, del 26 de enero del 2001.    Nombramiento de Representante del Consejo Institucional para la mesa principal del Acto de Graduación del Programa de Maestría en Administración de Empresas (San José).</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right="18"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Nombrar al MBA. José Rafael Hidalgo R., como representante del Consejo Institucional en la mesa principal del Acto de Graduación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del Programa de Maestría en Administración de Empresas (San José), a realizarse el 26 de enero del 2001, a las 18:00 horas en el Hotel Corobicí.  </w:t>
      </w:r>
      <w:r w:rsidDel="00000000" w:rsidR="00000000" w:rsidRPr="00000000">
        <w:rPr>
          <w:rtl w:val="0"/>
        </w:rPr>
      </w:r>
    </w:p>
    <w:p w:rsidR="00000000" w:rsidDel="00000000" w:rsidP="00000000" w:rsidRDefault="00000000" w:rsidRPr="00000000">
      <w:pPr>
        <w:ind w:right="616"/>
        <w:contextualSpacing w:val="0"/>
        <w:jc w:val="both"/>
      </w:pPr>
      <w:r w:rsidDel="00000000" w:rsidR="00000000" w:rsidRPr="00000000">
        <w:rPr>
          <w:rtl w:val="0"/>
        </w:rPr>
      </w:r>
    </w:p>
    <w:p w:rsidR="00000000" w:rsidDel="00000000" w:rsidP="00000000" w:rsidRDefault="00000000" w:rsidRPr="00000000">
      <w:pPr>
        <w:numPr>
          <w:ilvl w:val="0"/>
          <w:numId w:val="1"/>
        </w:numPr>
        <w:ind w:left="360" w:right="616" w:hanging="360"/>
        <w:jc w:val="both"/>
        <w:rPr>
          <w:rFonts w:ascii="Times New Roman" w:cs="Times New Roman" w:eastAsia="Times New Roman" w:hAnsi="Times New Roman"/>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BSS/gfm</w:t>
      </w:r>
      <w:r w:rsidDel="00000000" w:rsidR="00000000" w:rsidRPr="00000000">
        <w:rPr>
          <w:rtl w:val="0"/>
        </w:rPr>
      </w:r>
    </w:p>
    <w:tbl>
      <w:tblPr>
        <w:tblStyle w:val="Table2"/>
        <w:bidi w:val="0"/>
        <w:tblW w:w="8434.0" w:type="dxa"/>
        <w:jc w:val="left"/>
        <w:tblInd w:w="-70.0" w:type="dxa"/>
        <w:tblLayout w:type="fixed"/>
        <w:tblLook w:val="0000"/>
      </w:tblPr>
      <w:tblGrid>
        <w:gridCol w:w="8434"/>
        <w:tblGridChange w:id="0">
          <w:tblGrid>
            <w:gridCol w:w="8434"/>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214"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tabs>
                <w:tab w:val="left" w:pos="3686"/>
              </w:tabs>
              <w:spacing w:after="0" w:before="0" w:line="240" w:lineRule="auto"/>
              <w:ind w:right="51"/>
              <w:contextualSpacing w:val="0"/>
              <w:jc w:val="left"/>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tabs>
          <w:tab w:val="left" w:pos="498"/>
        </w:tabs>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SCI-07-2001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29 de enero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3"/>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Bach. José Miguel Solano S., Director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2155, Artículo 4, del  26 de enero del 2001.  Liquidación Presupuestaria 2000</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reiteradas sesiones ha solicitado que los documentos contables (Presupuestos, Ejecuciones y Liquidaciones) se presenten con su respectivo  plan y evaluación según corresponda.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requiere contar con documentos ejecutivos que indiquen qué se ha hecho en la Institución, qué se ha dejado de hacer y cuáles son las acciones o lineamientos que se requieren para lograr un funcionamiento más eficiente.</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Actualmente, es evidente la falta de integración plan presupuesto, lo cual se nota con los desfases entre la presentación de la documentación cuantitativa y cualitativa.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Institución requiere que en forma paulatina ambos procesos (cuantitativo como cualitativo) se vayan integrando y acercando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dictamen de la Auditoria Interna (AU-03-2001), con las recomendaciones dirigidas a la Administración para que estas sean atendidas.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al señor Rector un plan (actividades y fechas) que evidencie un esfuerzo por integrar plan presupuesto, en particular:</w:t>
      </w:r>
      <w:r w:rsidDel="00000000" w:rsidR="00000000" w:rsidRPr="00000000">
        <w:rPr>
          <w:rtl w:val="0"/>
        </w:rPr>
      </w:r>
    </w:p>
    <w:p w:rsidR="00000000" w:rsidDel="00000000" w:rsidP="00000000" w:rsidRDefault="00000000" w:rsidRPr="00000000">
      <w:pPr>
        <w:numPr>
          <w:ilvl w:val="0"/>
          <w:numId w:val="5"/>
        </w:numPr>
        <w:ind w:left="540" w:hanging="180"/>
        <w:jc w:val="both"/>
        <w:rPr>
          <w:b w:val="0"/>
          <w:sz w:val="22"/>
          <w:szCs w:val="22"/>
        </w:rPr>
      </w:pPr>
      <w:r w:rsidDel="00000000" w:rsidR="00000000" w:rsidRPr="00000000">
        <w:rPr>
          <w:rFonts w:ascii="Arial" w:cs="Arial" w:eastAsia="Arial" w:hAnsi="Arial"/>
          <w:sz w:val="22"/>
          <w:szCs w:val="22"/>
          <w:vertAlign w:val="baseline"/>
          <w:rtl w:val="0"/>
        </w:rPr>
        <w:t xml:space="preserve">Cuándo se entregará la Evaluación 2000.</w:t>
      </w:r>
      <w:r w:rsidDel="00000000" w:rsidR="00000000" w:rsidRPr="00000000">
        <w:rPr>
          <w:rtl w:val="0"/>
        </w:rPr>
      </w:r>
    </w:p>
    <w:p w:rsidR="00000000" w:rsidDel="00000000" w:rsidP="00000000" w:rsidRDefault="00000000" w:rsidRPr="00000000">
      <w:pPr>
        <w:numPr>
          <w:ilvl w:val="0"/>
          <w:numId w:val="5"/>
        </w:numPr>
        <w:ind w:left="540" w:hanging="180"/>
        <w:jc w:val="both"/>
        <w:rPr>
          <w:b w:val="0"/>
          <w:sz w:val="22"/>
          <w:szCs w:val="22"/>
        </w:rPr>
      </w:pPr>
      <w:r w:rsidDel="00000000" w:rsidR="00000000" w:rsidRPr="00000000">
        <w:rPr>
          <w:rFonts w:ascii="Arial" w:cs="Arial" w:eastAsia="Arial" w:hAnsi="Arial"/>
          <w:sz w:val="22"/>
          <w:szCs w:val="22"/>
          <w:vertAlign w:val="baseline"/>
          <w:rtl w:val="0"/>
        </w:rPr>
        <w:t xml:space="preserve">En qué fechas se entregará la Ejecución junio 2001 y su respectiva evaluación.</w:t>
      </w:r>
      <w:r w:rsidDel="00000000" w:rsidR="00000000" w:rsidRPr="00000000">
        <w:rPr>
          <w:rtl w:val="0"/>
        </w:rPr>
      </w:r>
    </w:p>
    <w:p w:rsidR="00000000" w:rsidDel="00000000" w:rsidP="00000000" w:rsidRDefault="00000000" w:rsidRPr="00000000">
      <w:pPr>
        <w:numPr>
          <w:ilvl w:val="0"/>
          <w:numId w:val="5"/>
        </w:numPr>
        <w:ind w:left="540" w:hanging="180"/>
        <w:jc w:val="both"/>
        <w:rPr>
          <w:b w:val="0"/>
          <w:sz w:val="22"/>
          <w:szCs w:val="22"/>
        </w:rPr>
      </w:pPr>
      <w:r w:rsidDel="00000000" w:rsidR="00000000" w:rsidRPr="00000000">
        <w:rPr>
          <w:rFonts w:ascii="Arial" w:cs="Arial" w:eastAsia="Arial" w:hAnsi="Arial"/>
          <w:sz w:val="22"/>
          <w:szCs w:val="22"/>
          <w:vertAlign w:val="baseline"/>
          <w:rtl w:val="0"/>
        </w:rPr>
        <w:t xml:space="preserve">En qué fecha se entregará la Liquidación 2001 y su respectiva evaluación.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0"/>
          <w:i w:val="1"/>
          <w:sz w:val="20"/>
          <w:szCs w:val="20"/>
          <w:vertAlign w:val="baseline"/>
          <w:rtl w:val="0"/>
        </w:rPr>
        <w:t xml:space="preserve">Sesión No. 2155, Artículo 4, del 26 de enero del 2001</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al señor Rector dirigir esfuerzos para que este Consejo Institucional reciba informes ejecutivos que permitan, a nivel de liquidación-evaluación, tener comparaciones entre años de las partidas y los programas, proyecciones y acciones relevantes para mejorar la ejecución.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al señor Rector velar para que se atiendan las recomendaciones contenidas en el dictamen AU-03-2001.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tabs>
                <w:tab w:val="left" w:pos="3686"/>
              </w:tabs>
              <w:spacing w:after="0" w:before="0" w:line="240" w:lineRule="auto"/>
              <w:ind w:left="284" w:right="51" w:firstLine="0"/>
              <w:contextualSpacing w:val="0"/>
              <w:jc w:val="both"/>
            </w:pPr>
            <w:r w:rsidDel="00000000" w:rsidR="00000000" w:rsidRPr="00000000">
              <w:rPr>
                <w:rFonts w:ascii="Arial" w:cs="Arial" w:eastAsia="Arial" w:hAnsi="Arial"/>
                <w:b w:val="1"/>
                <w:i w:val="0"/>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Presupuesto</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SCI-08-2001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29 de enero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5"/>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ML. Gabriel Vargas A., Vicerrector de Vida Estudiantil y Servicios Académicos</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Dr. Carlos González A., Vicerrector de Docencia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Ligia Rivas R., Directora del Departamento de Trabajo Social y Salud</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2155, Artículo 5, del 26 de enero del 2001.  Índice Socioeconómico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El Consejo Institucional ha considerado como área de interés institucional las acciones dirigidas hacia la atracción y permanencia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Los programas dirigidos hacia la atracción y permanencia estudiantil han sido orientados por las políticas institucionales para ser mecanismos que permitan lograr la equidad e igualdad del acceso a esta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El perfil de los y las estudiantes del Instituto Tecnológico de Costa Rica está cambiando y el mayor acceso está siendo de ciertos sectores, por ello, es importante dar seguimiento a estos cambios y crear los mecanismos que permitan que exista equidad e igualdad a todos los sectores del país en su incorporación y permanencia en esta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El índice socioeconómico ha sido un instrumento vital para la asignación de financiamiento a los y las estudiantes, no obstante, este debe verse como un mecanismo orientador para todos los programas dirigidos hacia el y la estudiante.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hanging="360"/>
        <w:jc w:val="both"/>
        <w:rPr/>
      </w:pPr>
      <w:r w:rsidDel="00000000" w:rsidR="00000000" w:rsidRPr="00000000">
        <w:rPr>
          <w:rFonts w:ascii="Arial" w:cs="Arial" w:eastAsia="Arial" w:hAnsi="Arial"/>
          <w:sz w:val="22"/>
          <w:szCs w:val="22"/>
          <w:vertAlign w:val="baseline"/>
          <w:rtl w:val="0"/>
        </w:rPr>
        <w:t xml:space="preserve">El índice socioeconómico debe considerarse como un mecanismo que debe ser evaluado y actualizado en forma permanente.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0"/>
          <w:i w:val="1"/>
          <w:sz w:val="20"/>
          <w:szCs w:val="20"/>
          <w:vertAlign w:val="baseline"/>
          <w:rtl w:val="0"/>
        </w:rPr>
        <w:t xml:space="preserve">Sesión No. 2155, Artículo 5, del 26 de enero del 2001</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6"/>
        </w:numPr>
        <w:ind w:left="374" w:hanging="374"/>
        <w:jc w:val="both"/>
        <w:rPr/>
      </w:pPr>
      <w:r w:rsidDel="00000000" w:rsidR="00000000" w:rsidRPr="00000000">
        <w:rPr>
          <w:rFonts w:ascii="Arial" w:cs="Arial" w:eastAsia="Arial" w:hAnsi="Arial"/>
          <w:sz w:val="22"/>
          <w:szCs w:val="22"/>
          <w:vertAlign w:val="baseline"/>
          <w:rtl w:val="0"/>
        </w:rPr>
        <w:t xml:space="preserve">Declarar de interés institucional la construcción del índice socioeconómico como mecanismo orientador de los programas y servicios dirigidos a los y las estudiantes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6"/>
        </w:numPr>
        <w:ind w:left="374" w:hanging="374"/>
        <w:jc w:val="both"/>
        <w:rPr/>
      </w:pPr>
      <w:r w:rsidDel="00000000" w:rsidR="00000000" w:rsidRPr="00000000">
        <w:rPr>
          <w:rFonts w:ascii="Arial" w:cs="Arial" w:eastAsia="Arial" w:hAnsi="Arial"/>
          <w:sz w:val="22"/>
          <w:szCs w:val="22"/>
          <w:vertAlign w:val="baseline"/>
          <w:rtl w:val="0"/>
        </w:rPr>
        <w:t xml:space="preserve">Apoyar la concepción y programación de la construcción del índice socioeconómico.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6"/>
        </w:numPr>
        <w:ind w:left="374" w:hanging="374"/>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tabs>
          <w:tab w:val="left" w:pos="368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6"/>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Departamento de Admisión y Registro </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Departamento de Orientación y Psicología </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tabs>
                <w:tab w:val="left" w:pos="3686"/>
              </w:tabs>
              <w:spacing w:after="0" w:before="0" w:line="240" w:lineRule="auto"/>
              <w:ind w:left="284" w:right="51" w:firstLine="0"/>
              <w:contextualSpacing w:val="0"/>
              <w:jc w:val="both"/>
            </w:pPr>
            <w:r w:rsidDel="00000000" w:rsidR="00000000" w:rsidRPr="00000000">
              <w:rPr>
                <w:rFonts w:ascii="Arial" w:cs="Arial" w:eastAsia="Arial" w:hAnsi="Arial"/>
                <w:b w:val="1"/>
                <w:i w:val="0"/>
                <w:sz w:val="18"/>
                <w:szCs w:val="18"/>
                <w:vertAlign w:val="baseline"/>
                <w:rtl w:val="0"/>
              </w:rPr>
              <w:t xml:space="preserve">Sede Regional San Carlos</w:t>
            </w:r>
          </w:p>
        </w:tc>
      </w:tr>
      <w:tr>
        <w:tc>
          <w:tcPr/>
          <w:p w:rsidR="00000000" w:rsidDel="00000000" w:rsidP="00000000" w:rsidRDefault="00000000" w:rsidRPr="00000000">
            <w:pPr>
              <w:keepNext w:val="1"/>
              <w:tabs>
                <w:tab w:val="left" w:pos="3686"/>
              </w:tabs>
              <w:spacing w:after="0" w:before="0" w:line="240" w:lineRule="auto"/>
              <w:ind w:left="284" w:right="51" w:firstLine="0"/>
              <w:contextualSpacing w:val="0"/>
              <w:jc w:val="both"/>
            </w:pPr>
            <w:r w:rsidDel="00000000" w:rsidR="00000000" w:rsidRPr="00000000">
              <w:rPr>
                <w:rFonts w:ascii="Arial" w:cs="Arial" w:eastAsia="Arial" w:hAnsi="Arial"/>
                <w:b w:val="1"/>
                <w:i w:val="0"/>
                <w:sz w:val="18"/>
                <w:szCs w:val="18"/>
                <w:vertAlign w:val="baseline"/>
                <w:rtl w:val="0"/>
              </w:rPr>
              <w:t xml:space="preserve">OPI</w:t>
            </w:r>
          </w:p>
        </w:tc>
      </w:tr>
      <w:tr>
        <w:tc>
          <w:tcPr/>
          <w:p w:rsidR="00000000" w:rsidDel="00000000" w:rsidP="00000000" w:rsidRDefault="00000000" w:rsidRPr="00000000">
            <w:pPr>
              <w:keepNext w:val="1"/>
              <w:spacing w:after="0" w:before="0" w:line="240" w:lineRule="auto"/>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p>
        </w:tc>
      </w:tr>
    </w:tbl>
    <w:p w:rsidR="00000000" w:rsidDel="00000000" w:rsidP="00000000" w:rsidRDefault="00000000" w:rsidRPr="00000000">
      <w:pPr>
        <w:tabs>
          <w:tab w:val="left" w:pos="3686"/>
        </w:tabs>
        <w:ind w:right="51"/>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SCI-09-2001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26 de enero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7"/>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Juvenal Valerio, Presidente Tribunal Institucional Electoral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vMerge w:val="restart"/>
          </w:tcPr>
          <w:p w:rsidR="00000000" w:rsidDel="00000000" w:rsidP="00000000" w:rsidRDefault="00000000" w:rsidRPr="00000000">
            <w:pPr>
              <w:ind w:right="51"/>
              <w:contextualSpacing w:val="0"/>
            </w:pPr>
            <w:r w:rsidDel="00000000" w:rsidR="00000000" w:rsidRPr="00000000">
              <w:rPr>
                <w:rFonts w:ascii="Arial" w:cs="Arial" w:eastAsia="Arial" w:hAnsi="Arial"/>
                <w:b w:val="1"/>
                <w:sz w:val="20"/>
                <w:szCs w:val="20"/>
                <w:vertAlign w:val="baseline"/>
                <w:rtl w:val="0"/>
              </w:rPr>
              <w:t xml:space="preserve">MAE. Sonia Acuña Acuña, Profesora de Escuela de Administración de Empresas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vMerge w:val="continue"/>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2155, Artículo 6, del 26 de enero del 2001.  Prórroga de Nombramiento de Representante del Sector Académico en el Tribunal Institucional Electoral</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consiguientes,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0" w:right="567" w:firstLine="0"/>
        <w:contextualSpacing w:val="0"/>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right="51" w:hanging="360"/>
        <w:jc w:val="both"/>
        <w:rPr/>
      </w:pPr>
      <w:r w:rsidDel="00000000" w:rsidR="00000000" w:rsidRPr="00000000">
        <w:rPr>
          <w:rFonts w:ascii="Arial" w:cs="Arial" w:eastAsia="Arial" w:hAnsi="Arial"/>
          <w:sz w:val="22"/>
          <w:szCs w:val="22"/>
          <w:vertAlign w:val="baseline"/>
          <w:rtl w:val="0"/>
        </w:rPr>
        <w:t xml:space="preserve">El Consejo Institucional en Sesión No. 2094, Artículo 4, del 2 de diciembre de 1999, aprobó nombrar a la MAE. Sonia Acuña Acuña como miembro titular del sector docente en el Tribunal Institucional Electoral (TIE), a partir del 2 de diciembre de 1999 hasta el 31 de enero del 2001.</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pPr>
      <w:r w:rsidDel="00000000" w:rsidR="00000000" w:rsidRPr="00000000">
        <w:rPr>
          <w:rFonts w:ascii="Arial" w:cs="Arial" w:eastAsia="Arial" w:hAnsi="Arial"/>
          <w:sz w:val="22"/>
          <w:szCs w:val="22"/>
          <w:vertAlign w:val="baseline"/>
          <w:rtl w:val="0"/>
        </w:rPr>
        <w:t xml:space="preserve">El Consejo Institucional, en Sesión No. 2154, del 15 de diciembre de 1999, conoció la solicitud del TIE, en Oficio No. 382-200, en el cual se solicita la prórroga de nombramiento de la MAE. Sonia Acuña hasta el 9 de abril del 2001.</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pPr>
      <w:r w:rsidDel="00000000" w:rsidR="00000000" w:rsidRPr="00000000">
        <w:rPr>
          <w:rFonts w:ascii="Arial" w:cs="Arial" w:eastAsia="Arial" w:hAnsi="Arial"/>
          <w:sz w:val="22"/>
          <w:szCs w:val="22"/>
          <w:vertAlign w:val="baseline"/>
          <w:rtl w:val="0"/>
        </w:rPr>
        <w:t xml:space="preserve">El día 15 de diciembre del 2000, se recibió nota de la MAE. Acuña donde manifiesta su interés por permanecer como miembra titular del sector docente en el Tribunal Institucional Electoral.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4"/>
        </w:numPr>
        <w:ind w:left="360" w:right="51" w:hanging="360"/>
        <w:jc w:val="both"/>
        <w:rPr/>
      </w:pPr>
      <w:r w:rsidDel="00000000" w:rsidR="00000000" w:rsidRPr="00000000">
        <w:rPr>
          <w:rFonts w:ascii="Arial" w:cs="Arial" w:eastAsia="Arial" w:hAnsi="Arial"/>
          <w:sz w:val="22"/>
          <w:szCs w:val="22"/>
          <w:vertAlign w:val="baseline"/>
          <w:rtl w:val="0"/>
        </w:rPr>
        <w:t xml:space="preserve">La Asesoría Legal en Oficio No. 007-2001, del 26 de enero, emitió dictamen favorable para prorrogar el nombramiento de la MAE. Acuña, con fundamento en el inciso w), Artículo 18, del Estatuto Orgánico.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0"/>
          <w:i w:val="1"/>
          <w:sz w:val="20"/>
          <w:szCs w:val="20"/>
          <w:vertAlign w:val="baseline"/>
          <w:rtl w:val="0"/>
        </w:rPr>
        <w:t xml:space="preserve">Sesión No. 2155, Artículo 6, del 26 de enero del 2001</w:t>
      </w:r>
      <w:r w:rsidDel="00000000" w:rsidR="00000000" w:rsidRPr="00000000">
        <w:rPr>
          <w:rtl w:val="0"/>
        </w:rPr>
      </w:r>
    </w:p>
    <w:p w:rsidR="00000000" w:rsidDel="00000000" w:rsidP="00000000" w:rsidRDefault="00000000" w:rsidRPr="00000000">
      <w:pPr>
        <w:ind w:left="374" w:right="618" w:hanging="374"/>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tabs>
          <w:tab w:val="left" w:pos="2127"/>
        </w:tabs>
        <w:ind w:right="51"/>
        <w:contextualSpacing w:val="0"/>
        <w:jc w:val="both"/>
      </w:pPr>
      <w:r w:rsidDel="00000000" w:rsidR="00000000" w:rsidRPr="00000000">
        <w:rPr>
          <w:rtl w:val="0"/>
        </w:rPr>
      </w:r>
    </w:p>
    <w:p w:rsidR="00000000" w:rsidDel="00000000" w:rsidP="00000000" w:rsidRDefault="00000000" w:rsidRPr="00000000">
      <w:pPr>
        <w:tabs>
          <w:tab w:val="left" w:pos="2127"/>
        </w:tabs>
        <w:ind w:right="51"/>
        <w:contextualSpacing w:val="0"/>
        <w:jc w:val="both"/>
      </w:pPr>
      <w:r w:rsidDel="00000000" w:rsidR="00000000" w:rsidRPr="00000000">
        <w:rPr>
          <w:rtl w:val="0"/>
        </w:rPr>
      </w:r>
    </w:p>
    <w:p w:rsidR="00000000" w:rsidDel="00000000" w:rsidP="00000000" w:rsidRDefault="00000000" w:rsidRPr="00000000">
      <w:pPr>
        <w:tabs>
          <w:tab w:val="left" w:pos="2127"/>
        </w:tabs>
        <w:ind w:right="51"/>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tabs>
          <w:tab w:val="left" w:pos="2127"/>
        </w:tabs>
        <w:ind w:right="51"/>
        <w:contextualSpacing w:val="0"/>
        <w:jc w:val="both"/>
      </w:pPr>
      <w:r w:rsidDel="00000000" w:rsidR="00000000" w:rsidRPr="00000000">
        <w:rPr>
          <w:rtl w:val="0"/>
        </w:rPr>
      </w:r>
    </w:p>
    <w:p w:rsidR="00000000" w:rsidDel="00000000" w:rsidP="00000000" w:rsidRDefault="00000000" w:rsidRPr="00000000">
      <w:pPr>
        <w:keepNext w:val="1"/>
        <w:numPr>
          <w:ilvl w:val="0"/>
          <w:numId w:val="2"/>
        </w:numPr>
        <w:spacing w:after="0" w:before="0" w:line="240" w:lineRule="auto"/>
        <w:ind w:left="360" w:right="51" w:hanging="360"/>
        <w:jc w:val="both"/>
        <w:rPr/>
      </w:pPr>
      <w:r w:rsidDel="00000000" w:rsidR="00000000" w:rsidRPr="00000000">
        <w:rPr>
          <w:rFonts w:ascii="Arial" w:cs="Arial" w:eastAsia="Arial" w:hAnsi="Arial"/>
          <w:b w:val="0"/>
          <w:sz w:val="22"/>
          <w:szCs w:val="22"/>
          <w:vertAlign w:val="baseline"/>
          <w:rtl w:val="0"/>
        </w:rPr>
        <w:t xml:space="preserve">Prorrogar el nombramiento de la MAE. Sonia Acuña Acuña como miembro titular del sector docente en el Tribunal Institucional Electoral, del 1 al 28 de febrero del 2001.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numPr>
          <w:ilvl w:val="0"/>
          <w:numId w:val="2"/>
        </w:numPr>
        <w:tabs>
          <w:tab w:val="left" w:pos="360"/>
        </w:tabs>
        <w:spacing w:after="0" w:before="0" w:line="240" w:lineRule="auto"/>
        <w:ind w:left="360" w:right="51" w:hanging="360"/>
        <w:jc w:val="both"/>
        <w:rPr/>
      </w:pPr>
      <w:r w:rsidDel="00000000" w:rsidR="00000000" w:rsidRPr="00000000">
        <w:rPr>
          <w:rFonts w:ascii="Arial" w:cs="Arial" w:eastAsia="Arial" w:hAnsi="Arial"/>
          <w:b w:val="0"/>
          <w:sz w:val="22"/>
          <w:szCs w:val="22"/>
          <w:vertAlign w:val="baseline"/>
          <w:rtl w:val="0"/>
        </w:rPr>
        <w:t xml:space="preserve">Realizar los trámites de divulgación a la comunidad institucional, de las vacantes existentes en el Tribunal Institucional Electoral, durante el mes de febrero del presente año.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numPr>
          <w:ilvl w:val="0"/>
          <w:numId w:val="2"/>
        </w:numPr>
        <w:tabs>
          <w:tab w:val="left" w:pos="360"/>
        </w:tabs>
        <w:spacing w:after="0" w:before="0" w:line="240" w:lineRule="auto"/>
        <w:ind w:left="360" w:right="51" w:hanging="360"/>
        <w:jc w:val="both"/>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BSS/gfm</w:t>
      </w:r>
    </w:p>
    <w:tbl>
      <w:tblPr>
        <w:tblStyle w:val="Table8"/>
        <w:bidi w:val="0"/>
        <w:tblW w:w="5200.0" w:type="dxa"/>
        <w:jc w:val="left"/>
        <w:tblInd w:w="-70.0" w:type="dxa"/>
        <w:tblLayout w:type="fixed"/>
        <w:tblLook w:val="0000"/>
      </w:tblPr>
      <w:tblGrid>
        <w:gridCol w:w="5200"/>
        <w:tblGridChange w:id="0">
          <w:tblGrid>
            <w:gridCol w:w="520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214"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keepNext w:val="1"/>
              <w:tabs>
                <w:tab w:val="left" w:pos="3686"/>
              </w:tabs>
              <w:spacing w:after="0" w:before="0" w:line="240" w:lineRule="auto"/>
              <w:ind w:left="284" w:right="51" w:firstLine="0"/>
              <w:contextualSpacing w:val="0"/>
              <w:jc w:val="both"/>
            </w:pPr>
            <w:r w:rsidDel="00000000" w:rsidR="00000000" w:rsidRPr="00000000">
              <w:rPr>
                <w:rFonts w:ascii="Arial" w:cs="Arial" w:eastAsia="Arial" w:hAnsi="Arial"/>
                <w:b w:val="1"/>
                <w:i w:val="0"/>
                <w:sz w:val="18"/>
                <w:szCs w:val="18"/>
                <w:vertAlign w:val="baseline"/>
                <w:rtl w:val="0"/>
              </w:rPr>
              <w:t xml:space="preserve">OPI</w:t>
            </w:r>
          </w:p>
        </w:tc>
      </w:tr>
      <w:tr>
        <w:tc>
          <w:tcPr/>
          <w:p w:rsidR="00000000" w:rsidDel="00000000" w:rsidP="00000000" w:rsidRDefault="00000000" w:rsidRPr="00000000">
            <w:pPr>
              <w:keepNext w:val="1"/>
              <w:tabs>
                <w:tab w:val="left" w:pos="3686"/>
              </w:tabs>
              <w:spacing w:after="0" w:before="0" w:line="240" w:lineRule="auto"/>
              <w:ind w:left="284" w:right="51" w:firstLine="0"/>
              <w:contextualSpacing w:val="0"/>
              <w:jc w:val="both"/>
            </w:pPr>
            <w:r w:rsidDel="00000000" w:rsidR="00000000" w:rsidRPr="00000000">
              <w:rPr>
                <w:rFonts w:ascii="Arial" w:cs="Arial" w:eastAsia="Arial" w:hAnsi="Arial"/>
                <w:b w:val="1"/>
                <w:i w:val="0"/>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Escuela de Administración de Empresas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Asamblea Institucional Representativa</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de Recursos Humanos </w:t>
            </w:r>
            <w:r w:rsidDel="00000000" w:rsidR="00000000" w:rsidRPr="00000000">
              <w:rPr>
                <w:rtl w:val="0"/>
              </w:rPr>
            </w:r>
          </w:p>
        </w:tc>
      </w:tr>
    </w:tbl>
    <w:p w:rsidR="00000000" w:rsidDel="00000000" w:rsidP="00000000" w:rsidRDefault="00000000" w:rsidRPr="00000000">
      <w:pPr>
        <w:tabs>
          <w:tab w:val="left" w:pos="3686"/>
        </w:tabs>
        <w:ind w:right="51"/>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SCI-10-2001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29 de enero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9"/>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Contraloría General de la República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2155, Artículo 12, del 26 de enero del 2001.  Disposiciones Contraloría General de la República (Informe NO. FOE-EC-40/2000-Oficio     No. 13.949)</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left="851" w:hanging="284"/>
        <w:contextualSpacing w:val="0"/>
      </w:pP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División de Fiscalización Operativa y Evaluativa de la Contraloría General de la República envió al Ing. Alejandro Cruz, Rector de la Institución, copia del informe     No. FOE-EC-40/2000 (Oficio No. 13.949), en el cual se consignan aspectos referentes al Presupuesto Ordinario 2001 de la Institución.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el informe se menciona que el Presupuesto Ordinario 2001 del ITCR, se aprueba parcialmente y se dispone que el Consejo Institucional gire instrucciones pertinentes para que atiendan varias disposiciones.</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8"/>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Las disposiciones solicitadas por la Contraloría son de carácter administrativo.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al señor Rector que gire las instrucciones para atender las disposiciones de la Contraloría General de la República, dadas en el informe No. FOE-EC-40/2000 (Oficio No. 13.949) e informe al Consejo Institucional las gestiones y acciones llevadas a cabo para cumplir con lo solicitado por el ente contralor.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este acuerdo a la Contraloría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rPr>
      </w:pP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10"/>
        <w:bidi w:val="0"/>
        <w:tblW w:w="8978.0" w:type="dxa"/>
        <w:jc w:val="left"/>
        <w:tblInd w:w="-70.0" w:type="dxa"/>
        <w:tblLayout w:type="fixed"/>
        <w:tblLook w:val="0000"/>
      </w:tblPr>
      <w:tblGrid>
        <w:gridCol w:w="4489"/>
        <w:gridCol w:w="4489"/>
        <w:tblGridChange w:id="0">
          <w:tblGrid>
            <w:gridCol w:w="4489"/>
            <w:gridCol w:w="4489"/>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keepNext w:val="1"/>
              <w:tabs>
                <w:tab w:val="left" w:pos="3686"/>
              </w:tabs>
              <w:spacing w:after="0" w:before="0" w:line="240" w:lineRule="auto"/>
              <w:ind w:left="284" w:right="51" w:firstLine="0"/>
              <w:contextualSpacing w:val="0"/>
              <w:jc w:val="both"/>
            </w:pPr>
            <w:r w:rsidDel="00000000" w:rsidR="00000000" w:rsidRPr="00000000">
              <w:rPr>
                <w:rFonts w:ascii="Arial" w:cs="Arial" w:eastAsia="Arial" w:hAnsi="Arial"/>
                <w:b w:val="1"/>
                <w:i w:val="0"/>
                <w:sz w:val="18"/>
                <w:szCs w:val="18"/>
                <w:vertAlign w:val="baseline"/>
                <w:rtl w:val="0"/>
              </w:rPr>
              <w:t xml:space="preserve">Sede Regional San Carlos</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c>
          <w:tcPr/>
          <w:p w:rsidR="00000000" w:rsidDel="00000000" w:rsidP="00000000" w:rsidRDefault="00000000" w:rsidRPr="00000000">
            <w:pPr>
              <w:keepNext w:val="1"/>
              <w:tabs>
                <w:tab w:val="left" w:pos="3686"/>
              </w:tabs>
              <w:spacing w:after="0" w:before="0" w:line="240" w:lineRule="auto"/>
              <w:ind w:left="284" w:right="51" w:firstLine="0"/>
              <w:contextualSpacing w:val="0"/>
              <w:jc w:val="both"/>
            </w:pPr>
            <w:r w:rsidDel="00000000" w:rsidR="00000000" w:rsidRPr="00000000">
              <w:rPr>
                <w:rFonts w:ascii="Arial" w:cs="Arial" w:eastAsia="Arial" w:hAnsi="Arial"/>
                <w:b w:val="1"/>
                <w:i w:val="0"/>
                <w:sz w:val="18"/>
                <w:szCs w:val="18"/>
                <w:vertAlign w:val="baseline"/>
                <w:rtl w:val="0"/>
              </w:rPr>
              <w:t xml:space="preserve">OPI</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3544"/>
      </w:tabs>
      <w:spacing w:after="0" w:before="708" w:line="240" w:lineRule="auto"/>
      <w:ind w:right="-91"/>
      <w:contextualSpacing w:val="0"/>
      <w:jc w:val="right"/>
    </w:pPr>
    <w:r w:rsidDel="00000000" w:rsidR="00000000" w:rsidRPr="00000000">
      <w:rPr>
        <w:rFonts w:ascii="Arial" w:cs="Arial" w:eastAsia="Arial" w:hAnsi="Arial"/>
        <w:b w:val="1"/>
        <w:sz w:val="16"/>
        <w:szCs w:val="16"/>
        <w:vertAlign w:val="baseline"/>
        <w:rtl w:val="0"/>
      </w:rPr>
      <w:t xml:space="preserve">Instituto Tecnológico de Costa Rica</w:t>
    </w:r>
  </w:p>
  <w:p w:rsidR="00000000" w:rsidDel="00000000" w:rsidP="00000000" w:rsidRDefault="00000000" w:rsidRPr="00000000">
    <w:pPr>
      <w:keepNext w:val="1"/>
      <w:spacing w:after="0" w:before="0" w:line="240" w:lineRule="auto"/>
      <w:ind w:right="5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Secretaría Consejo Institucional</w:t>
    </w:r>
  </w:p>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927" w:firstLine="567"/>
      </w:pPr>
      <w:rPr>
        <w:b w:val="1"/>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283"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2"/>
      <w:numFmt w:val="bullet"/>
      <w:lvlText w:val="●"/>
      <w:lvlJc w:val="left"/>
      <w:pPr>
        <w:ind w:left="2714" w:firstLine="2354"/>
      </w:pPr>
      <w:rPr>
        <w:rFonts w:ascii="Arial" w:cs="Arial" w:eastAsia="Arial" w:hAnsi="Arial"/>
        <w:vertAlign w:val="baseline"/>
      </w:rPr>
    </w:lvl>
    <w:lvl w:ilvl="1">
      <w:start w:val="1"/>
      <w:numFmt w:val="bullet"/>
      <w:lvlText w:val="o"/>
      <w:lvlJc w:val="left"/>
      <w:pPr>
        <w:ind w:left="1814" w:firstLine="1454"/>
      </w:pPr>
      <w:rPr>
        <w:rFonts w:ascii="Arial" w:cs="Arial" w:eastAsia="Arial" w:hAnsi="Arial"/>
        <w:vertAlign w:val="baseline"/>
      </w:rPr>
    </w:lvl>
    <w:lvl w:ilvl="2">
      <w:start w:val="1"/>
      <w:numFmt w:val="bullet"/>
      <w:lvlText w:val="▪"/>
      <w:lvlJc w:val="left"/>
      <w:pPr>
        <w:ind w:left="2534" w:firstLine="2174"/>
      </w:pPr>
      <w:rPr>
        <w:rFonts w:ascii="Arial" w:cs="Arial" w:eastAsia="Arial" w:hAnsi="Arial"/>
        <w:vertAlign w:val="baseline"/>
      </w:rPr>
    </w:lvl>
    <w:lvl w:ilvl="3">
      <w:start w:val="1"/>
      <w:numFmt w:val="bullet"/>
      <w:lvlText w:val="●"/>
      <w:lvlJc w:val="left"/>
      <w:pPr>
        <w:ind w:left="3254" w:firstLine="2894"/>
      </w:pPr>
      <w:rPr>
        <w:rFonts w:ascii="Arial" w:cs="Arial" w:eastAsia="Arial" w:hAnsi="Arial"/>
        <w:vertAlign w:val="baseline"/>
      </w:rPr>
    </w:lvl>
    <w:lvl w:ilvl="4">
      <w:start w:val="1"/>
      <w:numFmt w:val="bullet"/>
      <w:lvlText w:val="o"/>
      <w:lvlJc w:val="left"/>
      <w:pPr>
        <w:ind w:left="3974" w:firstLine="3614"/>
      </w:pPr>
      <w:rPr>
        <w:rFonts w:ascii="Arial" w:cs="Arial" w:eastAsia="Arial" w:hAnsi="Arial"/>
        <w:vertAlign w:val="baseline"/>
      </w:rPr>
    </w:lvl>
    <w:lvl w:ilvl="5">
      <w:start w:val="1"/>
      <w:numFmt w:val="bullet"/>
      <w:lvlText w:val="▪"/>
      <w:lvlJc w:val="left"/>
      <w:pPr>
        <w:ind w:left="4694" w:firstLine="4334"/>
      </w:pPr>
      <w:rPr>
        <w:rFonts w:ascii="Arial" w:cs="Arial" w:eastAsia="Arial" w:hAnsi="Arial"/>
        <w:vertAlign w:val="baseline"/>
      </w:rPr>
    </w:lvl>
    <w:lvl w:ilvl="6">
      <w:start w:val="1"/>
      <w:numFmt w:val="bullet"/>
      <w:lvlText w:val="●"/>
      <w:lvlJc w:val="left"/>
      <w:pPr>
        <w:ind w:left="5414" w:firstLine="5054"/>
      </w:pPr>
      <w:rPr>
        <w:rFonts w:ascii="Arial" w:cs="Arial" w:eastAsia="Arial" w:hAnsi="Arial"/>
        <w:vertAlign w:val="baseline"/>
      </w:rPr>
    </w:lvl>
    <w:lvl w:ilvl="7">
      <w:start w:val="1"/>
      <w:numFmt w:val="bullet"/>
      <w:lvlText w:val="o"/>
      <w:lvlJc w:val="left"/>
      <w:pPr>
        <w:ind w:left="6134" w:firstLine="5774"/>
      </w:pPr>
      <w:rPr>
        <w:rFonts w:ascii="Arial" w:cs="Arial" w:eastAsia="Arial" w:hAnsi="Arial"/>
        <w:vertAlign w:val="baseline"/>
      </w:rPr>
    </w:lvl>
    <w:lvl w:ilvl="8">
      <w:start w:val="1"/>
      <w:numFmt w:val="bullet"/>
      <w:lvlText w:val="▪"/>
      <w:lvlJc w:val="left"/>
      <w:pPr>
        <w:ind w:left="6854" w:firstLine="6494"/>
      </w:pPr>
      <w:rPr>
        <w:rFonts w:ascii="Arial" w:cs="Arial" w:eastAsia="Arial" w:hAnsi="Arial"/>
        <w:vertAlign w:val="baseline"/>
      </w:rPr>
    </w:lvl>
  </w:abstractNum>
  <w:abstractNum w:abstractNumId="6">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363" w:firstLine="1080.0000000000002"/>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