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SCI-079-2001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Elías Rosales E., Presidente Directorio de la Asamblea Institucional Representativa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Juvenal Valerio G., Presidente del Tribunal Institucional Electoral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Ing. Edgardo Vargas J., Coordinador de la Comisión de Estatuto Orgánico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2161, Artículo 6, del 9 de marzo del 2001.  Firmeza del Acuerdo de la Sesión No. 2160, Artículo 9, del 2 de marzo del 2001.  Modificación de los Artículos 49 y 79 del Estatuto Orgánico, referente a la modificación solicitada por la Asamblea Institucional Representativa sobre las asambleas que define el Estatuto Orgánico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Asamblea Institucional Representativa, en la Sesión AIR-42-00 del 3 de mayo del 2000, acordó modificar los incisos f) y h) del Artículo 6 del Estatuto Orgánico, y dispuso:  “solicitar al Consejo Institucional modifique por medio de los cambios de redacción pertinentes el texto actual sobre la conformación de las otras asambleas que se definen en el Estatuto Orgánico y en el Código de Elecciones del Instituto Tecnológico de Costa Rica.  Siguiendo como principio para esas modificaciones que los funcionarios: profesores y administrativos deben haber estado nombrados en la Institución por tiempo indefinido y con una jornada no menor a medio tiempo completo.  </w:t>
      </w:r>
      <w:r w:rsidDel="00000000" w:rsidR="00000000" w:rsidRPr="00000000">
        <w:rPr>
          <w:rFonts w:ascii="Arial" w:cs="Arial" w:eastAsia="Arial" w:hAnsi="Arial"/>
          <w:b w:val="1"/>
          <w:sz w:val="22"/>
          <w:szCs w:val="22"/>
          <w:vertAlign w:val="baseline"/>
          <w:rtl w:val="0"/>
        </w:rPr>
        <w:t xml:space="preserve">Estas condiciones deben cumplirse por lo menos seis meses antes de la fecha de publicación del padrón definitivo correspondiente</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Tanto en el Estatuto Orgánico, como en el Código de Elecciones del Instituto Tecnológico de Costa Rica existen varios artículos que contienen la conformación de asambleas, se hace necesario modificarlos, para que su redacción se adecúe a las reformas ordenadas por la AIR.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Modificar los incisos b) y d) del Artículo 49 del Estatuto Orgánico; para que se lean así:</w:t>
      </w: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Artículo 49</w:t>
      </w:r>
    </w:p>
    <w:p w:rsidR="00000000" w:rsidDel="00000000" w:rsidP="00000000" w:rsidRDefault="00000000" w:rsidRPr="00000000">
      <w:pPr>
        <w:ind w:left="812" w:right="558" w:hanging="406"/>
        <w:contextualSpacing w:val="0"/>
        <w:jc w:val="both"/>
      </w:pPr>
      <w:r w:rsidDel="00000000" w:rsidR="00000000" w:rsidRPr="00000000">
        <w:rPr>
          <w:rFonts w:ascii="Arial" w:cs="Arial" w:eastAsia="Arial" w:hAnsi="Arial"/>
          <w:b w:val="1"/>
          <w:sz w:val="20"/>
          <w:szCs w:val="20"/>
          <w:vertAlign w:val="baseline"/>
          <w:rtl w:val="0"/>
        </w:rPr>
        <w:t xml:space="preserve">"b.</w:t>
        <w:tab/>
      </w:r>
      <w:r w:rsidDel="00000000" w:rsidR="00000000" w:rsidRPr="00000000">
        <w:rPr>
          <w:rFonts w:ascii="Arial" w:cs="Arial" w:eastAsia="Arial" w:hAnsi="Arial"/>
          <w:sz w:val="20"/>
          <w:szCs w:val="20"/>
          <w:vertAlign w:val="baseline"/>
          <w:rtl w:val="0"/>
        </w:rPr>
        <w:t xml:space="preserve">Todos los profesores que laboren en ese Departamento, nombrados por tiempo indefinido y con una jornada no menor a medio tiempo completo.  Estas condiciones deben cumplirse por lo menos seis meses antes de la fecha de publicación del padrón definitivo de la Asamblea Plebiscitaria del Departamento Académico."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6,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26" w:right="537" w:hanging="420"/>
        <w:contextualSpacing w:val="0"/>
        <w:jc w:val="both"/>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ab/>
        <w:t xml:space="preserve">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r w:rsidDel="00000000" w:rsidR="00000000" w:rsidRPr="00000000">
        <w:rPr>
          <w:rtl w:val="0"/>
        </w:rPr>
      </w:r>
    </w:p>
    <w:p w:rsidR="00000000" w:rsidDel="00000000" w:rsidP="00000000" w:rsidRDefault="00000000" w:rsidRPr="00000000">
      <w:pPr>
        <w:ind w:left="826" w:right="537" w:hanging="4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Modificar los incisos d) y f) del Artículo 79 del Estatuto Orgánico; para que se lean así:</w:t>
      </w: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Artículo 79</w:t>
      </w:r>
      <w:r w:rsidDel="00000000" w:rsidR="00000000" w:rsidRPr="00000000">
        <w:rPr>
          <w:rtl w:val="0"/>
        </w:rPr>
      </w:r>
    </w:p>
    <w:p w:rsidR="00000000" w:rsidDel="00000000" w:rsidP="00000000" w:rsidRDefault="00000000" w:rsidRPr="00000000">
      <w:pPr>
        <w:ind w:left="840" w:right="523" w:hanging="434"/>
        <w:contextualSpacing w:val="0"/>
        <w:jc w:val="both"/>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ab/>
        <w:t xml:space="preserve">Todos los profesores de la Sede Regional, nombrados por tiempo indefinido y con una jornada no menor a medio tiempo completo.  Estas condiciones deben cumplirse por lo menos seis meses antes de la fecha de publicación del padrón definitivo de la Asamblea Plebiscitaria de la Sede Regional."</w:t>
      </w:r>
      <w:r w:rsidDel="00000000" w:rsidR="00000000" w:rsidRPr="00000000">
        <w:rPr>
          <w:rtl w:val="0"/>
        </w:rPr>
      </w:r>
    </w:p>
    <w:p w:rsidR="00000000" w:rsidDel="00000000" w:rsidP="00000000" w:rsidRDefault="00000000" w:rsidRPr="00000000">
      <w:pPr>
        <w:ind w:left="840" w:right="523" w:hanging="434"/>
        <w:contextualSpacing w:val="0"/>
        <w:jc w:val="both"/>
      </w:pPr>
      <w:r w:rsidDel="00000000" w:rsidR="00000000" w:rsidRPr="00000000">
        <w:rPr>
          <w:rtl w:val="0"/>
        </w:rPr>
      </w:r>
    </w:p>
    <w:p w:rsidR="00000000" w:rsidDel="00000000" w:rsidP="00000000" w:rsidRDefault="00000000" w:rsidRPr="00000000">
      <w:pPr>
        <w:ind w:left="840" w:right="523" w:hanging="434"/>
        <w:contextualSpacing w:val="0"/>
        <w:jc w:val="both"/>
      </w:pPr>
      <w:r w:rsidDel="00000000" w:rsidR="00000000" w:rsidRPr="00000000">
        <w:rPr>
          <w:rFonts w:ascii="Arial" w:cs="Arial" w:eastAsia="Arial" w:hAnsi="Arial"/>
          <w:b w:val="1"/>
          <w:sz w:val="20"/>
          <w:szCs w:val="20"/>
          <w:vertAlign w:val="baseline"/>
          <w:rtl w:val="0"/>
        </w:rPr>
        <w:t xml:space="preserve">"f.</w:t>
      </w:r>
      <w:r w:rsidDel="00000000" w:rsidR="00000000" w:rsidRPr="00000000">
        <w:rPr>
          <w:rFonts w:ascii="Arial" w:cs="Arial" w:eastAsia="Arial" w:hAnsi="Arial"/>
          <w:sz w:val="20"/>
          <w:szCs w:val="20"/>
          <w:vertAlign w:val="baseline"/>
          <w:rtl w:val="0"/>
        </w:rPr>
        <w:tab/>
        <w:t xml:space="preserve">Todos los funcionarios administrativos de la Sede Regional nombrados por tiempo indefinido y con una jornada no menor a medio tiempo completo.  Estas condiciones deben cumplirse por lo menos seis meses antes de la fecha de publicación del padrón definitivo de la Asamblea Plebiscitaria de la Sede Regional.  Su participación tiene una valoración equivalente a 1/4 del total de miembros considerados en los incisos a), b), c) y d) de este artículo."</w:t>
      </w:r>
      <w:r w:rsidDel="00000000" w:rsidR="00000000" w:rsidRPr="00000000">
        <w:rPr>
          <w:rtl w:val="0"/>
        </w:rPr>
      </w:r>
    </w:p>
    <w:p w:rsidR="00000000" w:rsidDel="00000000" w:rsidP="00000000" w:rsidRDefault="00000000" w:rsidRPr="00000000">
      <w:pPr>
        <w:ind w:left="840" w:right="523" w:hanging="434"/>
        <w:contextualSpacing w:val="0"/>
        <w:jc w:val="both"/>
      </w:pPr>
      <w:r w:rsidDel="00000000" w:rsidR="00000000" w:rsidRPr="00000000">
        <w:rPr>
          <w:rtl w:val="0"/>
        </w:rPr>
      </w:r>
    </w:p>
    <w:p w:rsidR="00000000" w:rsidDel="00000000" w:rsidP="00000000" w:rsidRDefault="00000000" w:rsidRPr="00000000">
      <w:pPr>
        <w:ind w:left="360" w:right="523" w:hanging="360"/>
        <w:contextualSpacing w:val="0"/>
        <w:jc w:val="both"/>
      </w:pPr>
      <w:r w:rsidDel="00000000" w:rsidR="00000000" w:rsidRPr="00000000">
        <w:rPr>
          <w:rFonts w:ascii="Arial" w:cs="Arial" w:eastAsia="Arial" w:hAnsi="Arial"/>
          <w:b w:val="1"/>
          <w:sz w:val="22"/>
          <w:szCs w:val="22"/>
          <w:vertAlign w:val="baseline"/>
          <w:rtl w:val="0"/>
        </w:rPr>
        <w:t xml:space="preserve">c.  </w:t>
      </w:r>
      <w:r w:rsidDel="00000000" w:rsidR="00000000" w:rsidRPr="00000000">
        <w:rPr>
          <w:rFonts w:ascii="Arial" w:cs="Arial" w:eastAsia="Arial" w:hAnsi="Arial"/>
          <w:sz w:val="22"/>
          <w:szCs w:val="22"/>
          <w:vertAlign w:val="baseline"/>
          <w:rtl w:val="0"/>
        </w:rPr>
        <w:t xml:space="preserve">Comunicar.</w:t>
      </w:r>
      <w:r w:rsidDel="00000000" w:rsidR="00000000" w:rsidRPr="00000000">
        <w:rPr>
          <w:rFonts w:ascii="Arial" w:cs="Arial" w:eastAsia="Arial" w:hAnsi="Arial"/>
          <w:b w:val="1"/>
          <w:sz w:val="22"/>
          <w:szCs w:val="22"/>
          <w:vertAlign w:val="baseline"/>
          <w:rtl w:val="0"/>
        </w:rPr>
        <w:t xml:space="preserve">  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SCI-080-2001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Juvenal Valerio G., Presidente del Tribunal Institucional Electoral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MBA. William Vives B., Vicerrector de Vida Estudiantil y Servicios Académicos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MAE. Bernal Martínez G., Director de la Sede Regional de San Carlos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Lic. Adriano Corrales A., Director del DEVESA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Arq. Jorge Sancho Víquez, Director del Centro Académico de San José</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2161, Artículo 7, del 9 de marzo del 2001.    Reforma integral sobre la elección de Directores de Departamentos Académicos, nombramiento de los Coordinadores de Unidad y Conformación de los Consejos de los Departamentos no Académicos de la Vicerrectoría de Vida Estudiantil y Servicios Académicos y los correspondientes de las Sedes Regionales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right="618" w:hanging="284"/>
        <w:contextualSpacing w:val="0"/>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Ley Orgánica del Instituto Tecnológico de Costa Rica (Ley No. 6321 del 27 de abril de 1979) establece que: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540" w:right="380" w:firstLine="0"/>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Artículo 13  </w:t>
      </w:r>
      <w:r w:rsidDel="00000000" w:rsidR="00000000" w:rsidRPr="00000000">
        <w:rPr>
          <w:rtl w:val="0"/>
        </w:rPr>
      </w:r>
    </w:p>
    <w:p w:rsidR="00000000" w:rsidDel="00000000" w:rsidP="00000000" w:rsidRDefault="00000000" w:rsidRPr="00000000">
      <w:pPr>
        <w:ind w:left="540" w:right="380" w:firstLine="0"/>
        <w:contextualSpacing w:val="0"/>
      </w:pPr>
      <w:r w:rsidDel="00000000" w:rsidR="00000000" w:rsidRPr="00000000">
        <w:rPr>
          <w:rtl w:val="0"/>
        </w:rPr>
      </w:r>
    </w:p>
    <w:p w:rsidR="00000000" w:rsidDel="00000000" w:rsidP="00000000" w:rsidRDefault="00000000" w:rsidRPr="00000000">
      <w:pPr>
        <w:ind w:left="540" w:right="380" w:firstLine="0"/>
        <w:contextualSpacing w:val="0"/>
        <w:jc w:val="both"/>
      </w:pPr>
      <w:r w:rsidDel="00000000" w:rsidR="00000000" w:rsidRPr="00000000">
        <w:rPr>
          <w:rFonts w:ascii="Arial" w:cs="Arial" w:eastAsia="Arial" w:hAnsi="Arial"/>
          <w:sz w:val="20"/>
          <w:szCs w:val="20"/>
          <w:vertAlign w:val="baseline"/>
          <w:rtl w:val="0"/>
        </w:rPr>
        <w:t xml:space="preserve">El Estatuto Orgánico del Instituto definirá los organismos que existirán dentro del mismo y, en especial, quién o quiénes ejercerán su representación legal.</w:t>
      </w:r>
      <w:r w:rsidDel="00000000" w:rsidR="00000000" w:rsidRPr="00000000">
        <w:rPr>
          <w:rtl w:val="0"/>
        </w:rPr>
      </w:r>
    </w:p>
    <w:p w:rsidR="00000000" w:rsidDel="00000000" w:rsidP="00000000" w:rsidRDefault="00000000" w:rsidRPr="00000000">
      <w:pPr>
        <w:ind w:left="540" w:right="380" w:firstLine="0"/>
        <w:contextualSpacing w:val="0"/>
        <w:jc w:val="both"/>
      </w:pPr>
      <w:r w:rsidDel="00000000" w:rsidR="00000000" w:rsidRPr="00000000">
        <w:rPr>
          <w:rtl w:val="0"/>
        </w:rPr>
      </w:r>
    </w:p>
    <w:p w:rsidR="00000000" w:rsidDel="00000000" w:rsidP="00000000" w:rsidRDefault="00000000" w:rsidRPr="00000000">
      <w:pPr>
        <w:ind w:left="540" w:right="380" w:firstLine="0"/>
        <w:contextualSpacing w:val="0"/>
        <w:jc w:val="both"/>
      </w:pPr>
      <w:r w:rsidDel="00000000" w:rsidR="00000000" w:rsidRPr="00000000">
        <w:rPr>
          <w:rFonts w:ascii="Arial" w:cs="Arial" w:eastAsia="Arial" w:hAnsi="Arial"/>
          <w:sz w:val="20"/>
          <w:szCs w:val="20"/>
          <w:vertAlign w:val="baseline"/>
          <w:rtl w:val="0"/>
        </w:rPr>
        <w:t xml:space="preserve">Las normas a que se sujetarán sus estudiantes se establecerán mediante reglamentos especiales.</w:t>
      </w:r>
      <w:r w:rsidDel="00000000" w:rsidR="00000000" w:rsidRPr="00000000">
        <w:rPr>
          <w:rtl w:val="0"/>
        </w:rPr>
      </w:r>
    </w:p>
    <w:p w:rsidR="00000000" w:rsidDel="00000000" w:rsidP="00000000" w:rsidRDefault="00000000" w:rsidRPr="00000000">
      <w:pPr>
        <w:ind w:left="540" w:right="380" w:firstLine="0"/>
        <w:contextualSpacing w:val="0"/>
        <w:jc w:val="both"/>
      </w:pPr>
      <w:r w:rsidDel="00000000" w:rsidR="00000000" w:rsidRPr="00000000">
        <w:rPr>
          <w:rtl w:val="0"/>
        </w:rPr>
      </w:r>
    </w:p>
    <w:p w:rsidR="00000000" w:rsidDel="00000000" w:rsidP="00000000" w:rsidRDefault="00000000" w:rsidRPr="00000000">
      <w:pPr>
        <w:ind w:left="540" w:right="380" w:firstLine="0"/>
        <w:contextualSpacing w:val="0"/>
        <w:jc w:val="both"/>
      </w:pPr>
      <w:r w:rsidDel="00000000" w:rsidR="00000000" w:rsidRPr="00000000">
        <w:rPr>
          <w:rFonts w:ascii="Arial" w:cs="Arial" w:eastAsia="Arial" w:hAnsi="Arial"/>
          <w:sz w:val="20"/>
          <w:szCs w:val="20"/>
          <w:vertAlign w:val="baseline"/>
          <w:rtl w:val="0"/>
        </w:rPr>
        <w:t xml:space="preserve">Todos estos instrumentos deberán ser aprobados por la misma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Estatuto Orgánico establece las funciones de una serie de organismos e indica que este instrumento sólo puede ser variado siguiendo una serie de procedimientos definidos en el Titulo IV, Capítulo II.</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reglamentos indispensables para el funcionamiento del Instituto son aprobados principalmente por la Asamblea Institucional Representativa y el Consejo Institucional, quedando algunos otros de carácter muy específico que deben ser aprobados por otros organismos definidos en el Estatuto Orgánico.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7,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inciso “v”, Artículo 18 del Estatuto Orgánico se estipula que es función del Consejo Institucional: </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Fonts w:ascii="Arial" w:cs="Arial" w:eastAsia="Arial" w:hAnsi="Arial"/>
          <w:sz w:val="20"/>
          <w:szCs w:val="20"/>
          <w:vertAlign w:val="baseline"/>
          <w:rtl w:val="0"/>
        </w:rPr>
        <w:t xml:space="preserve">“Resolver sobre lo no previsto en este Estatuto Orgánico y ejercer otras funciones necesarias para la buena marcha de la Institución no atribuidas a ningún otro órgano”.</w:t>
      </w:r>
      <w:r w:rsidDel="00000000" w:rsidR="00000000" w:rsidRPr="00000000">
        <w:rPr>
          <w:rtl w:val="0"/>
        </w:rPr>
      </w:r>
    </w:p>
    <w:p w:rsidR="00000000" w:rsidDel="00000000" w:rsidP="00000000" w:rsidRDefault="00000000" w:rsidRPr="00000000">
      <w:pPr>
        <w:ind w:left="900" w:right="-45"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inciso “z”, Artículo 26 del Estatuto Orgánico se estipula que es función del Rector:</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Fonts w:ascii="Arial" w:cs="Arial" w:eastAsia="Arial" w:hAnsi="Arial"/>
          <w:sz w:val="20"/>
          <w:szCs w:val="20"/>
          <w:vertAlign w:val="baseline"/>
          <w:rtl w:val="0"/>
        </w:rPr>
        <w:t xml:space="preserve">“Ejercer las demás funciones que le otorga este Estatuto Orgánico o que le delegue el Consejo Institucional”</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00" w:right="29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inciso “o”, Artículo 32 del Estatuto Orgánico se estipula que es función de los Vicerrectores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Fonts w:ascii="Arial" w:cs="Arial" w:eastAsia="Arial" w:hAnsi="Arial"/>
          <w:sz w:val="20"/>
          <w:szCs w:val="20"/>
          <w:vertAlign w:val="baseline"/>
          <w:rtl w:val="0"/>
        </w:rPr>
        <w:t xml:space="preserve">“Desempeñar otras funciones que este Estatuto Orgánico o los reglamentos le encomienden”.</w:t>
      </w: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inciso “u”, Artículo 79 del Estatuto Orgánico se estipula que es función del Director de Sede Regional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Fonts w:ascii="Arial" w:cs="Arial" w:eastAsia="Arial" w:hAnsi="Arial"/>
          <w:sz w:val="20"/>
          <w:szCs w:val="20"/>
          <w:vertAlign w:val="baseline"/>
          <w:rtl w:val="0"/>
        </w:rPr>
        <w:t xml:space="preserve">“Desempeñar otras funciones que este Estatuto Orgánico o los reglamentos le encomienden”</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90" w:right="-45"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Artículo 63, inciso d respectivamente del Estatuto Orgánico se indica que es función del director de departamento no académico:</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left="540" w:right="290" w:firstLine="0"/>
        <w:contextualSpacing w:val="0"/>
        <w:jc w:val="both"/>
      </w:pPr>
      <w:r w:rsidDel="00000000" w:rsidR="00000000" w:rsidRPr="00000000">
        <w:rPr>
          <w:rFonts w:ascii="Arial" w:cs="Arial" w:eastAsia="Arial" w:hAnsi="Arial"/>
          <w:sz w:val="20"/>
          <w:szCs w:val="20"/>
          <w:vertAlign w:val="baseline"/>
          <w:rtl w:val="0"/>
        </w:rPr>
        <w:t xml:space="preserve">“Ejecutar los acuerdos y resoluciones de la Asamblea Institucional, el Consejo Institucional, el Rector, los Vicerrectores y el Director de Sede, según corresponda”.</w:t>
      </w:r>
      <w:r w:rsidDel="00000000" w:rsidR="00000000" w:rsidRPr="00000000">
        <w:rPr>
          <w:rtl w:val="0"/>
        </w:rPr>
      </w:r>
    </w:p>
    <w:p w:rsidR="00000000" w:rsidDel="00000000" w:rsidP="00000000" w:rsidRDefault="00000000" w:rsidRPr="00000000">
      <w:pPr>
        <w:ind w:left="990" w:right="29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 los considerandos anteriores se infiere que el Consejo Institucional regula y otorga funciones al Rector, los Vicerrectores, Directores de Sede y Centros Académicos, y a los Directores de Departamentos no Académicos, pero que para asignar o limitar funciones así mismo, a los consejos de Rectoría, de Vicerrectorías, de Investigación y Extensión, de Departamentos no Académicos, del Tribunal Institucional Electoral, a no ser que se siga el procedimiento de reformas al Estatuto Orgánico, establecido en ese instrumento legal.</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después de seguir los procedimientos establecidos, en Sesión No. 1873</w:t>
      </w:r>
      <w:r w:rsidDel="00000000" w:rsidR="00000000" w:rsidRPr="00000000">
        <w:rPr>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Artículo 10, celebrada el 14 de marzo de 1996, introdujo una modificación al Estatuto Orgánico donde se creó la Asamblea Plebiscitaria de Departamento Académico, otorgándole la función de elegir el Director de Departamento Académico y eliminó esta función al Consejo de Departamento Académico.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7,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 el propósito de establecer un procedimiento para elegir al Director de Departamento Académico, el Consejo Institucional aprobó un reglamento titulado: Reglamento para la Elección de Directores de Departamento y Coordinadores de Unidad y modificó el Artículo 12 del Reglamento para la Creación de Unidades de Departamentos del ITCR.</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Reglamento para la Elección de Directores de Departamento y Coordinadores de Unidad se estableció que es el Tribunal Institucional Electoral es el encargado de organizar y dirigir las elecciones de Directores de Departamento y en la modificación del Artículo 12 del Reglamento para la Creación de Unidades de Departamentos del ITCR se definió que los coordinadores de unidad serán electos siguiendo los mismos procedimientos para la elección de los Directores de Departamento.</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vertAlign w:val="baseline"/>
          <w:rtl w:val="0"/>
        </w:rPr>
        <w:t xml:space="preserve">Sin </w:t>
      </w:r>
      <w:r w:rsidDel="00000000" w:rsidR="00000000" w:rsidRPr="00000000">
        <w:rPr>
          <w:rFonts w:ascii="Arial" w:cs="Arial" w:eastAsia="Arial" w:hAnsi="Arial"/>
          <w:sz w:val="22"/>
          <w:szCs w:val="22"/>
          <w:vertAlign w:val="baseline"/>
          <w:rtl w:val="0"/>
        </w:rPr>
        <w:t xml:space="preserve">embargo,</w:t>
      </w:r>
      <w:r w:rsidDel="00000000" w:rsidR="00000000" w:rsidRPr="00000000">
        <w:rPr>
          <w:rFonts w:ascii="Arial" w:cs="Arial" w:eastAsia="Arial" w:hAnsi="Arial"/>
          <w:vertAlign w:val="baseline"/>
          <w:rtl w:val="0"/>
        </w:rPr>
        <w:t xml:space="preserve"> al asignársele, en el Estatuto Orgánico, funciones al Tribunal Electoral Institucional se establece:</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spacing w:after="0" w:before="0" w:line="240" w:lineRule="auto"/>
        <w:ind w:left="630" w:firstLine="0"/>
        <w:contextualSpacing w:val="0"/>
        <w:jc w:val="both"/>
      </w:pPr>
      <w:r w:rsidDel="00000000" w:rsidR="00000000" w:rsidRPr="00000000">
        <w:rPr>
          <w:rFonts w:ascii="Arial" w:cs="Arial" w:eastAsia="Arial" w:hAnsi="Arial"/>
          <w:b w:val="1"/>
          <w:sz w:val="20"/>
          <w:szCs w:val="20"/>
          <w:vertAlign w:val="baseline"/>
          <w:rtl w:val="0"/>
        </w:rPr>
        <w:t xml:space="preserve">“Artículo 84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990" w:hanging="360"/>
        <w:contextualSpacing w:val="0"/>
        <w:jc w:val="both"/>
      </w:pPr>
      <w:r w:rsidDel="00000000" w:rsidR="00000000" w:rsidRPr="00000000">
        <w:rPr>
          <w:rFonts w:ascii="Arial" w:cs="Arial" w:eastAsia="Arial" w:hAnsi="Arial"/>
          <w:b w:val="0"/>
          <w:sz w:val="20"/>
          <w:szCs w:val="20"/>
          <w:vertAlign w:val="baseline"/>
          <w:rtl w:val="0"/>
        </w:rPr>
        <w:t xml:space="preserve">Son funciones del Tribunal Institucional Electoral: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990" w:hanging="360"/>
        <w:contextualSpacing w:val="0"/>
        <w:jc w:val="both"/>
      </w:pP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b w:val="0"/>
          <w:sz w:val="20"/>
          <w:szCs w:val="20"/>
          <w:vertAlign w:val="baseline"/>
          <w:rtl w:val="0"/>
        </w:rPr>
        <w:tab/>
        <w:t xml:space="preserve">Organizar, ejecutar, supervisar y velar por la pureza de todos los procesos plebiscitarios y de los electorales para el nombramiento de los miembros del Consejo Institucional, del Rector y de los Directores de las Sedes Regionales, así como observar, por medio de delegados, las elecciones de directores de departamento y miembros de la Asamblea Institucional y del Congreso Institucional”</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Existe una contradicción clara entre el Estatuto Orgánico y los Reglamentos para la Creación de Unidades de Departamentos del ITCR y para la Elección de Directores de Departamento y Coordinadores de Unidad, pues el Tribunal Institucional Electoral no puede asumir funciones que no están explícitamente expresadas en el Estatuto Orgánico.</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1234, Artículo 6, del 16 de febrero de 1984, ya había interpretado que:</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left="990" w:right="290" w:hanging="450"/>
        <w:contextualSpacing w:val="0"/>
        <w:jc w:val="both"/>
      </w:pPr>
      <w:r w:rsidDel="00000000" w:rsidR="00000000" w:rsidRPr="00000000">
        <w:rPr>
          <w:rFonts w:ascii="Arial" w:cs="Arial" w:eastAsia="Arial" w:hAnsi="Arial"/>
          <w:sz w:val="20"/>
          <w:szCs w:val="20"/>
          <w:vertAlign w:val="baseline"/>
          <w:rtl w:val="0"/>
        </w:rPr>
        <w:t xml:space="preserve">“c. </w:t>
        <w:tab/>
        <w:t xml:space="preserve">En lo que respecta a las elecciones de Director de Departamento, la única función que le corresponde al Tribunal Institucional Electoral consiste en observar dichos procesos.”</w:t>
      </w:r>
      <w:r w:rsidDel="00000000" w:rsidR="00000000" w:rsidRPr="00000000">
        <w:rPr>
          <w:rtl w:val="0"/>
        </w:rPr>
      </w:r>
    </w:p>
    <w:p w:rsidR="00000000" w:rsidDel="00000000" w:rsidP="00000000" w:rsidRDefault="00000000" w:rsidRPr="00000000">
      <w:pPr>
        <w:ind w:left="990" w:right="290" w:hanging="45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misma interpretación también se agrega:</w:t>
      </w:r>
      <w:r w:rsidDel="00000000" w:rsidR="00000000" w:rsidRPr="00000000">
        <w:rPr>
          <w:rtl w:val="0"/>
        </w:rPr>
      </w:r>
    </w:p>
    <w:p w:rsidR="00000000" w:rsidDel="00000000" w:rsidP="00000000" w:rsidRDefault="00000000" w:rsidRPr="00000000">
      <w:pPr>
        <w:ind w:left="-13" w:right="20" w:firstLine="0"/>
        <w:contextualSpacing w:val="0"/>
        <w:jc w:val="both"/>
      </w:pPr>
      <w:r w:rsidDel="00000000" w:rsidR="00000000" w:rsidRPr="00000000">
        <w:rPr>
          <w:rtl w:val="0"/>
        </w:rPr>
      </w:r>
    </w:p>
    <w:p w:rsidR="00000000" w:rsidDel="00000000" w:rsidP="00000000" w:rsidRDefault="00000000" w:rsidRPr="00000000">
      <w:pPr>
        <w:ind w:left="900" w:right="290" w:hanging="270"/>
        <w:contextualSpacing w:val="0"/>
        <w:jc w:val="both"/>
      </w:pPr>
      <w:r w:rsidDel="00000000" w:rsidR="00000000" w:rsidRPr="00000000">
        <w:rPr>
          <w:rFonts w:ascii="Arial" w:cs="Arial" w:eastAsia="Arial" w:hAnsi="Arial"/>
          <w:sz w:val="20"/>
          <w:szCs w:val="20"/>
          <w:vertAlign w:val="baseline"/>
          <w:rtl w:val="0"/>
        </w:rPr>
        <w:t xml:space="preserve">“d. Para que el Tribunal Institucional Electoral pueda cumplir adecuadamente con su papel de observador, los departamentos académicos deberán informarle oportunamente la fecha en que han decidido realizar las elecciones de director.”</w:t>
      </w:r>
      <w:r w:rsidDel="00000000" w:rsidR="00000000" w:rsidRPr="00000000">
        <w:rPr>
          <w:rtl w:val="0"/>
        </w:rPr>
      </w:r>
    </w:p>
    <w:p w:rsidR="00000000" w:rsidDel="00000000" w:rsidP="00000000" w:rsidRDefault="00000000" w:rsidRPr="00000000">
      <w:pPr>
        <w:ind w:left="900" w:right="290" w:hanging="27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7,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4"/>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Reglamento para la Elección de Directores de Departamento y Coordinadores de Unidad incluye adicionalmente una cláusula para definir como se integran los Consejos de Departamentos no Académicos de la Vicerrectoría de Vida Estudiantil y Servicios Académicos de la Sede Central y los correspondientes de las Sedes Regionales, y que tiene que ver más con la conformación de ese organismo, que con la función de proponer la persona que debe ocupar el cargo de Director al Vicerrector o Director de Sede Regional respectivo.  Sin embargo, este asunto debe quedar resuelto para propiciar el buen funcionamiento de dichos Consejos.</w:t>
      </w:r>
      <w:r w:rsidDel="00000000" w:rsidR="00000000" w:rsidRPr="00000000">
        <w:rPr>
          <w:rtl w:val="0"/>
        </w:rPr>
      </w:r>
    </w:p>
    <w:p w:rsidR="00000000" w:rsidDel="00000000" w:rsidP="00000000" w:rsidRDefault="00000000" w:rsidRPr="00000000">
      <w:pPr>
        <w:ind w:left="360" w:right="-45" w:firstLine="0"/>
        <w:contextualSpacing w:val="0"/>
        <w:jc w:val="both"/>
      </w:pPr>
      <w:r w:rsidDel="00000000" w:rsidR="00000000" w:rsidRPr="00000000">
        <w:rPr>
          <w:rtl w:val="0"/>
        </w:rPr>
      </w:r>
    </w:p>
    <w:p w:rsidR="00000000" w:rsidDel="00000000" w:rsidP="00000000" w:rsidRDefault="00000000" w:rsidRPr="00000000">
      <w:pPr>
        <w:ind w:left="360" w:right="-45" w:firstLine="0"/>
        <w:contextualSpacing w:val="0"/>
        <w:jc w:val="both"/>
      </w:pPr>
      <w:r w:rsidDel="00000000" w:rsidR="00000000" w:rsidRPr="00000000">
        <w:rPr>
          <w:rFonts w:ascii="Arial" w:cs="Arial" w:eastAsia="Arial" w:hAnsi="Arial"/>
          <w:sz w:val="22"/>
          <w:szCs w:val="22"/>
          <w:vertAlign w:val="baseline"/>
          <w:rtl w:val="0"/>
        </w:rPr>
        <w:t xml:space="preserve">Por tanto, se concluye que la modificación del Artículo 12 del Reglamento para la Creación de Unidades de Departamentos del ITCR y el Reglamento para la Elección de Directores de Departamento y Coordinadores de Unidad están en contra de lo establecido en el Estatuto Orgánico y se propone acordar: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Modificar el Artículo 12 del Reglamento para la Creación de Unidades en Departamentos en el Instituto Tecnológico de Costa Rica de manera que se lea:</w:t>
      </w:r>
      <w:r w:rsidDel="00000000" w:rsidR="00000000" w:rsidRPr="00000000">
        <w:rPr>
          <w:rtl w:val="0"/>
        </w:rPr>
      </w:r>
    </w:p>
    <w:p w:rsidR="00000000" w:rsidDel="00000000" w:rsidP="00000000" w:rsidRDefault="00000000" w:rsidRPr="00000000">
      <w:pPr>
        <w:ind w:left="540" w:right="-45"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vertAlign w:val="baseline"/>
          <w:rtl w:val="0"/>
        </w:rPr>
        <w:t xml:space="preserve">ARTICULO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12  (Reglamento para la Creación de Unidades en Departamentos en el Instituto Tecnológico de Costa Rica)</w:t>
      </w:r>
      <w:r w:rsidDel="00000000" w:rsidR="00000000" w:rsidRPr="00000000">
        <w:rPr>
          <w:rtl w:val="0"/>
        </w:rPr>
      </w:r>
    </w:p>
    <w:p w:rsidR="00000000" w:rsidDel="00000000" w:rsidP="00000000" w:rsidRDefault="00000000" w:rsidRPr="00000000">
      <w:pPr>
        <w:ind w:left="360" w:right="-4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45" w:firstLine="0"/>
        <w:contextualSpacing w:val="0"/>
        <w:jc w:val="both"/>
      </w:pPr>
      <w:r w:rsidDel="00000000" w:rsidR="00000000" w:rsidRPr="00000000">
        <w:rPr>
          <w:rFonts w:ascii="Arial" w:cs="Arial" w:eastAsia="Arial" w:hAnsi="Arial"/>
          <w:b w:val="0"/>
          <w:sz w:val="22"/>
          <w:szCs w:val="22"/>
          <w:vertAlign w:val="baseline"/>
          <w:rtl w:val="0"/>
        </w:rPr>
        <w:t xml:space="preserve">Siempre y cuando no exista una normativa específica en reglamentos aprobados por el Consejo Institucional, corresponde al o la Vicerrector(a), Director(a) de Sede Regional o Centro Académico, nombrar a los coordinadores de las unidades departamentales a su cargo, a propuesta del (la) Director(a) de Departamento respectivo.</w:t>
      </w:r>
    </w:p>
    <w:p w:rsidR="00000000" w:rsidDel="00000000" w:rsidP="00000000" w:rsidRDefault="00000000" w:rsidRPr="00000000">
      <w:pPr>
        <w:ind w:left="540" w:right="-45"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Derogar el Reglamento para la Elección de Directores de Departamento y Coordinadores de Unidad.</w:t>
      </w:r>
      <w:r w:rsidDel="00000000" w:rsidR="00000000" w:rsidRPr="00000000">
        <w:rPr>
          <w:rtl w:val="0"/>
        </w:rPr>
      </w:r>
    </w:p>
    <w:p w:rsidR="00000000" w:rsidDel="00000000" w:rsidP="00000000" w:rsidRDefault="00000000" w:rsidRPr="00000000">
      <w:pPr>
        <w:ind w:left="360" w:right="-45" w:hanging="360"/>
        <w:contextualSpacing w:val="0"/>
        <w:jc w:val="both"/>
      </w:pPr>
      <w:r w:rsidDel="00000000" w:rsidR="00000000" w:rsidRPr="00000000">
        <w:rPr>
          <w:rtl w:val="0"/>
        </w:rPr>
      </w:r>
    </w:p>
    <w:p w:rsidR="00000000" w:rsidDel="00000000" w:rsidP="00000000" w:rsidRDefault="00000000" w:rsidRPr="00000000">
      <w:pPr>
        <w:numPr>
          <w:ilvl w:val="1"/>
          <w:numId w:val="3"/>
        </w:numPr>
        <w:ind w:left="360" w:right="-45"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Para la conformación de los Consejos de Departamentos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no Académicos de la Vicerrectoría de Vida Estudiantil y Servicios Académicos de la Sede Central y los correspondientes de las Sedes Regionales en que existan más de 10 funcionarios en los departamentos, el procedimiento de selección de las personas que participan en el Consejo de Departamento debe ser aprobado por los funcionarios del Departamento respectivo, sin haber incluido en ese proceso al director del mismo.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El procedimiento debe ser presentado al Consejo Institucional para su correspondiente aprobación.  Las modificaciones a estos procedimientos sólo podrán efectuarse antes del período de 6 meses calendario, previo a las elecciones en un departamento.</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7,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Dar un plazo de un mes a todos los Departamentos no Académicos de la Vicerrectoría de Vida Estudiantil y Servicios Académicos de la Sede Central y los correspondientes de las Sedes Regionales para que presenten al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el procedimiento para su correspondiente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283" w:hanging="283"/>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Asamblea Institucional Representativa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SCI-081-2001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5"/>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Juvenal Valerio G., Presidente del Tribunal Institucional Electoral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2161, Artículo 8, del  9 de marzo del 2001.  Respuesta a consulta del Tribunal Institucional Electoral sobre Elecciones de Coordinadores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sz w:val="22"/>
          <w:szCs w:val="22"/>
          <w:vertAlign w:val="baseline"/>
          <w:rtl w:val="0"/>
        </w:rPr>
        <w:t xml:space="preserve">El Tribunal Institucional Electoral en nota TIE-06-2001 solicita “se le aclare a la mayor brevedad posible cuáles Coordinadores de Licenciaturas, Centros, Unidades Académicas o Administrativas deben ser nombradas mediante una Asamblea Plebiscitaria y por tanto con la intervención del Tribunal”.</w:t>
      </w:r>
      <w:r w:rsidDel="00000000" w:rsidR="00000000" w:rsidRPr="00000000">
        <w:rPr>
          <w:rtl w:val="0"/>
        </w:rPr>
      </w:r>
    </w:p>
    <w:p w:rsidR="00000000" w:rsidDel="00000000" w:rsidP="00000000" w:rsidRDefault="00000000" w:rsidRPr="00000000">
      <w:pPr>
        <w:ind w:left="77"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encargó a la Comisión Permanente de Estatuto Orgánico el análisis de dicha problemática.</w:t>
      </w: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sz w:val="22"/>
          <w:szCs w:val="22"/>
          <w:vertAlign w:val="baseline"/>
          <w:rtl w:val="0"/>
        </w:rPr>
        <w:t xml:space="preserve">La Comisión Permanente de Estatuto Orgánico encontró contradicciones entre los Reglamentos:  Reglamento para la Elección de Directores de Departamento y Coordinadores de Unidad y el Reglamento para la Creación de Unidades de Departamentos del ITCR, con el Estatuto Orgánico, lo que los hace inaplicables.</w:t>
      </w:r>
      <w:r w:rsidDel="00000000" w:rsidR="00000000" w:rsidRPr="00000000">
        <w:rPr>
          <w:rtl w:val="0"/>
        </w:rPr>
      </w:r>
    </w:p>
    <w:p w:rsidR="00000000" w:rsidDel="00000000" w:rsidP="00000000" w:rsidRDefault="00000000" w:rsidRPr="00000000">
      <w:pPr>
        <w:ind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sz w:val="22"/>
          <w:szCs w:val="22"/>
          <w:vertAlign w:val="baseline"/>
          <w:rtl w:val="0"/>
        </w:rPr>
        <w:t xml:space="preserve">Las contradicciones encontradas se basan en que las funciones del Tribunal Institucional Electoral están definidas en el Estatuto Orgánico y que por tanto para darle nuevas funciones o modificar las estatuidas, se debe seguir el procedimiento de reforma establecido en ese instrumento legal.</w:t>
      </w:r>
      <w:r w:rsidDel="00000000" w:rsidR="00000000" w:rsidRPr="00000000">
        <w:rPr>
          <w:rtl w:val="0"/>
        </w:rPr>
      </w:r>
    </w:p>
    <w:p w:rsidR="00000000" w:rsidDel="00000000" w:rsidP="00000000" w:rsidRDefault="00000000" w:rsidRPr="00000000">
      <w:pPr>
        <w:ind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rPr/>
      </w:pPr>
      <w:r w:rsidDel="00000000" w:rsidR="00000000" w:rsidRPr="00000000">
        <w:rPr>
          <w:rFonts w:ascii="Arial" w:cs="Arial" w:eastAsia="Arial" w:hAnsi="Arial"/>
          <w:sz w:val="22"/>
          <w:szCs w:val="22"/>
          <w:vertAlign w:val="baseline"/>
          <w:rtl w:val="0"/>
        </w:rPr>
        <w:t xml:space="preserve">El Tribunal tiene la función 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900" w:right="558" w:hanging="360"/>
        <w:contextualSpacing w:val="0"/>
        <w:jc w:val="both"/>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b w:val="0"/>
          <w:sz w:val="20"/>
          <w:szCs w:val="20"/>
          <w:vertAlign w:val="baseline"/>
          <w:rtl w:val="0"/>
        </w:rPr>
        <w:t xml:space="preserve"> Organizar, ejecutar, supervisar y velar por la pureza de todos los procesos plebiscitarios y de los electorales para el nombramiento de los miembros del Consejo Institucional, del Rector y de los Directores de las Sedes Regionales, así como observar, por medio de delegados, las elecciones de Directores de Departamento y miembros de la Asamblea Institucional y del Congreso Institucional.”</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8,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Sesión No.1234, Articulo 6, del 16 de febrero de 1984, ya había interpretado sobre la participación del Tribunal Institucional Electoral en la elección de los Directores de Departamento Académico, en términos de que ese organismo sólo observa por medio de delegados dichas elecciones.</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5"/>
        </w:numPr>
        <w:ind w:left="360" w:right="6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Informar al Tribunal Institucional Electoral lo siguiente: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283"/>
        <w:rPr/>
      </w:pPr>
      <w:r w:rsidDel="00000000" w:rsidR="00000000" w:rsidRPr="00000000">
        <w:rPr>
          <w:rFonts w:ascii="Arial" w:cs="Arial" w:eastAsia="Arial" w:hAnsi="Arial"/>
          <w:sz w:val="22"/>
          <w:szCs w:val="22"/>
          <w:vertAlign w:val="baseline"/>
          <w:rtl w:val="0"/>
        </w:rPr>
        <w:t xml:space="preserve">Reiterar la interpretación del Consejo Institucional de la Sesión No. 1234, Artículo 6, inciso “c”, del 16 de febrero de 1984, que dice: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1080" w:right="378" w:hanging="180"/>
        <w:contextualSpacing w:val="0"/>
        <w:jc w:val="both"/>
      </w:pPr>
      <w:r w:rsidDel="00000000" w:rsidR="00000000" w:rsidRPr="00000000">
        <w:rPr>
          <w:rFonts w:ascii="Arial" w:cs="Arial" w:eastAsia="Arial" w:hAnsi="Arial"/>
          <w:b w:val="1"/>
          <w:i w:val="1"/>
          <w:sz w:val="22"/>
          <w:szCs w:val="22"/>
          <w:vertAlign w:val="baseline"/>
          <w:rtl w:val="0"/>
        </w:rPr>
        <w:t xml:space="preserve"> “ En lo que respecta a las elecciones de Director  de Departamento, la única función que le corresponde al Tribunal Institucional Electoral consiste en observar dichos procesos.”</w:t>
      </w:r>
      <w:r w:rsidDel="00000000" w:rsidR="00000000" w:rsidRPr="00000000">
        <w:rPr>
          <w:rtl w:val="0"/>
        </w:rPr>
      </w:r>
    </w:p>
    <w:p w:rsidR="00000000" w:rsidDel="00000000" w:rsidP="00000000" w:rsidRDefault="00000000" w:rsidRPr="00000000">
      <w:pPr>
        <w:ind w:left="900" w:right="378" w:firstLine="0"/>
        <w:contextualSpacing w:val="0"/>
      </w:pPr>
      <w:r w:rsidDel="00000000" w:rsidR="00000000" w:rsidRPr="00000000">
        <w:rPr>
          <w:rtl w:val="0"/>
        </w:rPr>
      </w:r>
    </w:p>
    <w:p w:rsidR="00000000" w:rsidDel="00000000" w:rsidP="00000000" w:rsidRDefault="00000000" w:rsidRPr="00000000">
      <w:pPr>
        <w:numPr>
          <w:ilvl w:val="0"/>
          <w:numId w:val="6"/>
        </w:numPr>
        <w:ind w:left="720" w:hanging="283"/>
        <w:jc w:val="both"/>
        <w:rPr/>
      </w:pPr>
      <w:r w:rsidDel="00000000" w:rsidR="00000000" w:rsidRPr="00000000">
        <w:rPr>
          <w:rFonts w:ascii="Arial" w:cs="Arial" w:eastAsia="Arial" w:hAnsi="Arial"/>
          <w:sz w:val="22"/>
          <w:szCs w:val="22"/>
          <w:vertAlign w:val="baseline"/>
          <w:rtl w:val="0"/>
        </w:rPr>
        <w:t xml:space="preserve">El Consejo Institucional modificó los procedimientos de elección de los Coordinadores de Unidades, según el acuerdo de la Sesión No. 2161, Artículo 7, de manera que la función de nombrarlos sea de la siguiente manera:</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900" w:right="18" w:firstLine="0"/>
        <w:contextualSpacing w:val="0"/>
        <w:jc w:val="both"/>
      </w:pPr>
      <w:r w:rsidDel="00000000" w:rsidR="00000000" w:rsidRPr="00000000">
        <w:rPr>
          <w:rFonts w:ascii="Arial" w:cs="Arial" w:eastAsia="Arial" w:hAnsi="Arial"/>
          <w:b w:val="1"/>
          <w:sz w:val="22"/>
          <w:szCs w:val="22"/>
          <w:vertAlign w:val="baseline"/>
          <w:rtl w:val="0"/>
        </w:rPr>
        <w:t xml:space="preserve">“ARTICULO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12 (Reglamento para la Creación de Unidades en Departamentos en el Instituto Tecnológico de Costa Rica)</w:t>
      </w:r>
      <w:r w:rsidDel="00000000" w:rsidR="00000000" w:rsidRPr="00000000">
        <w:rPr>
          <w:rtl w:val="0"/>
        </w:rPr>
      </w:r>
    </w:p>
    <w:p w:rsidR="00000000" w:rsidDel="00000000" w:rsidP="00000000" w:rsidRDefault="00000000" w:rsidRPr="00000000">
      <w:pPr>
        <w:ind w:left="900" w:right="37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00" w:right="378" w:firstLine="0"/>
        <w:contextualSpacing w:val="0"/>
        <w:jc w:val="both"/>
      </w:pPr>
      <w:r w:rsidDel="00000000" w:rsidR="00000000" w:rsidRPr="00000000">
        <w:rPr>
          <w:rFonts w:ascii="Arial" w:cs="Arial" w:eastAsia="Arial" w:hAnsi="Arial"/>
          <w:b w:val="0"/>
          <w:sz w:val="22"/>
          <w:szCs w:val="22"/>
          <w:vertAlign w:val="baseline"/>
          <w:rtl w:val="0"/>
        </w:rPr>
        <w:t xml:space="preserve">Siempre y cuando no exista una normativa específica en reglamentos aprobados por el Consejo Institucional, corresponde al o la Vicerrector(a), Director(a) de Sede Regional o Centro Académico, nombrar a los coordinadores de las unidades departamentales a su cargo, a propuesta del Director(a) de Departamento respectivo.”</w:t>
      </w:r>
    </w:p>
    <w:p w:rsidR="00000000" w:rsidDel="00000000" w:rsidP="00000000" w:rsidRDefault="00000000" w:rsidRPr="00000000">
      <w:pPr>
        <w:spacing w:after="0" w:before="0" w:line="240" w:lineRule="auto"/>
        <w:ind w:left="900" w:right="378" w:firstLine="0"/>
        <w:contextualSpacing w:val="0"/>
        <w:jc w:val="both"/>
      </w:pPr>
      <w:r w:rsidDel="00000000" w:rsidR="00000000" w:rsidRPr="00000000">
        <w:rPr>
          <w:rtl w:val="0"/>
        </w:rPr>
      </w:r>
    </w:p>
    <w:p w:rsidR="00000000" w:rsidDel="00000000" w:rsidP="00000000" w:rsidRDefault="00000000" w:rsidRPr="00000000">
      <w:pPr>
        <w:numPr>
          <w:ilvl w:val="0"/>
          <w:numId w:val="6"/>
        </w:numPr>
        <w:ind w:left="720" w:hanging="283"/>
        <w:jc w:val="both"/>
        <w:rPr/>
      </w:pPr>
      <w:r w:rsidDel="00000000" w:rsidR="00000000" w:rsidRPr="00000000">
        <w:rPr>
          <w:rFonts w:ascii="Arial" w:cs="Arial" w:eastAsia="Arial" w:hAnsi="Arial"/>
          <w:sz w:val="22"/>
          <w:szCs w:val="22"/>
          <w:vertAlign w:val="baseline"/>
          <w:rtl w:val="0"/>
        </w:rPr>
        <w:t xml:space="preserve">Encomendar al Presidente del Consejo Institucional que comunique dicho acuerdo al Tribunal Institucional y darlo a conocer a la Comunidad Institucional.</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  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Asamblea Institucional Representantiva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SCI-082-2001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7"/>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Sr. Antonio Rivera B., Presidente de la Comisión de Escalafón No Profesional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 (AFITEC)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2161, Artículo 9, del  9 de marzo del  2001.   Moción sustitutiva a la propuesta Reglamento de Escalafón No Profesional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La Comisión de Escalafón No Profesional presentó al Consejo Institucional propuesta de Reforma al Reglamento de Escalafón No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La propuesta fue trasladada a la Comisión de Planificación y Administración, por lo que esta Comisión la revisó, analizó, se reunió con miembros(as) de la Comisión de Escalafón No profesional y sugiere cambios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Las modificaciones propuestas son fundamentalmente las que se detallan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La participación en Proyectos de Investigación y Extensión</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Capacitación interna (impartición)</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Participación en cursos de carrera</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Supervisión de práctica de especialidad o trabajos finales de graduación</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Participación destacada en eventos de proyección</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Un paso adicional.  Actualmente hay tres pasos y se proponen cuatro</w:t>
      </w:r>
      <w:r w:rsidDel="00000000" w:rsidR="00000000" w:rsidRPr="00000000">
        <w:rPr>
          <w:rtl w:val="0"/>
        </w:rPr>
      </w:r>
    </w:p>
    <w:p w:rsidR="00000000" w:rsidDel="00000000" w:rsidP="00000000" w:rsidRDefault="00000000" w:rsidRPr="00000000">
      <w:pPr>
        <w:numPr>
          <w:ilvl w:val="0"/>
          <w:numId w:val="9"/>
        </w:numPr>
        <w:ind w:left="720" w:hanging="346"/>
        <w:jc w:val="both"/>
        <w:rPr/>
      </w:pPr>
      <w:r w:rsidDel="00000000" w:rsidR="00000000" w:rsidRPr="00000000">
        <w:rPr>
          <w:rFonts w:ascii="Arial" w:cs="Arial" w:eastAsia="Arial" w:hAnsi="Arial"/>
          <w:sz w:val="22"/>
          <w:szCs w:val="22"/>
          <w:vertAlign w:val="baseline"/>
          <w:rtl w:val="0"/>
        </w:rPr>
        <w:t xml:space="preserve">El tiempo laborado en la Institución para estar ubicado en el Escalafón disminuye  de 5 a 3 años</w:t>
      </w:r>
      <w:r w:rsidDel="00000000" w:rsidR="00000000" w:rsidRPr="00000000">
        <w:rPr>
          <w:rtl w:val="0"/>
        </w:rPr>
      </w:r>
    </w:p>
    <w:p w:rsidR="00000000" w:rsidDel="00000000" w:rsidP="00000000" w:rsidRDefault="00000000" w:rsidRPr="00000000">
      <w:pPr>
        <w:numPr>
          <w:ilvl w:val="0"/>
          <w:numId w:val="9"/>
        </w:numPr>
        <w:ind w:left="657" w:hanging="283"/>
        <w:jc w:val="both"/>
        <w:rPr/>
      </w:pPr>
      <w:r w:rsidDel="00000000" w:rsidR="00000000" w:rsidRPr="00000000">
        <w:rPr>
          <w:rFonts w:ascii="Arial" w:cs="Arial" w:eastAsia="Arial" w:hAnsi="Arial"/>
          <w:sz w:val="22"/>
          <w:szCs w:val="22"/>
          <w:vertAlign w:val="baseline"/>
          <w:rtl w:val="0"/>
        </w:rPr>
        <w:t xml:space="preserve">Disminuye el número de años para ascender a cada paso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tbl>
      <w:tblPr>
        <w:tblStyle w:val="Table8"/>
        <w:bidi w:val="0"/>
        <w:tblW w:w="6370.0" w:type="dxa"/>
        <w:jc w:val="left"/>
        <w:tblInd w:w="1010.0" w:type="dxa"/>
        <w:tblLayout w:type="fixed"/>
        <w:tblLook w:val="0000"/>
      </w:tblPr>
      <w:tblGrid>
        <w:gridCol w:w="1150"/>
        <w:gridCol w:w="2700"/>
        <w:gridCol w:w="2520"/>
        <w:tblGridChange w:id="0">
          <w:tblGrid>
            <w:gridCol w:w="1150"/>
            <w:gridCol w:w="2700"/>
            <w:gridCol w:w="2520"/>
          </w:tblGrid>
        </w:tblGridChange>
      </w:tblGrid>
      <w:tr>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PASO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TIEMPO SERVIDO (ACTUAL)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T.S. PROPUESTO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bl>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Times New Roman" w:cs="Times New Roman" w:eastAsia="Times New Roman" w:hAnsi="Times New Roman"/>
          <w:b w:val="1"/>
          <w:sz w:val="18"/>
          <w:szCs w:val="18"/>
          <w:vertAlign w:val="baseline"/>
          <w:rtl w:val="0"/>
        </w:rPr>
        <w:tab/>
        <w:tab/>
        <w:tab/>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9,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561"/>
        </w:tabs>
        <w:contextualSpacing w:val="0"/>
        <w:jc w:val="both"/>
      </w:pP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283"/>
        <w:jc w:val="both"/>
        <w:rPr/>
      </w:pPr>
      <w:r w:rsidDel="00000000" w:rsidR="00000000" w:rsidRPr="00000000">
        <w:rPr>
          <w:rFonts w:ascii="Arial" w:cs="Arial" w:eastAsia="Arial" w:hAnsi="Arial"/>
          <w:sz w:val="22"/>
          <w:szCs w:val="22"/>
          <w:vertAlign w:val="baseline"/>
          <w:rtl w:val="0"/>
        </w:rPr>
        <w:t xml:space="preserve">Disminuye el puntaje por obra didáctica</w:t>
      </w:r>
      <w:r w:rsidDel="00000000" w:rsidR="00000000" w:rsidRPr="00000000">
        <w:rPr>
          <w:rtl w:val="0"/>
        </w:rPr>
      </w:r>
    </w:p>
    <w:p w:rsidR="00000000" w:rsidDel="00000000" w:rsidP="00000000" w:rsidRDefault="00000000" w:rsidRPr="00000000">
      <w:pPr>
        <w:numPr>
          <w:ilvl w:val="0"/>
          <w:numId w:val="9"/>
        </w:numPr>
        <w:ind w:left="720" w:hanging="283"/>
        <w:jc w:val="both"/>
        <w:rPr/>
      </w:pPr>
      <w:r w:rsidDel="00000000" w:rsidR="00000000" w:rsidRPr="00000000">
        <w:rPr>
          <w:rFonts w:ascii="Arial" w:cs="Arial" w:eastAsia="Arial" w:hAnsi="Arial"/>
          <w:sz w:val="22"/>
          <w:szCs w:val="22"/>
          <w:vertAlign w:val="baseline"/>
          <w:rtl w:val="0"/>
        </w:rPr>
        <w:t xml:space="preserve">Aumenta puntaje máximo para cursos de formación, cursos libres y membresías en organismos extrainstitucionales, por participación en comisiones y órganos institucionales, por membresías en juntas directivas, por títulos, por idiomas y otros</w:t>
      </w:r>
      <w:r w:rsidDel="00000000" w:rsidR="00000000" w:rsidRPr="00000000">
        <w:rPr>
          <w:rtl w:val="0"/>
        </w:rPr>
      </w:r>
    </w:p>
    <w:p w:rsidR="00000000" w:rsidDel="00000000" w:rsidP="00000000" w:rsidRDefault="00000000" w:rsidRPr="00000000">
      <w:pPr>
        <w:ind w:left="374" w:firstLine="0"/>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Se incorporaron las recomendaciones sugeridas en los dictámenes de Asesoría Legal (AL-310-97), Auditoría Interna, (AU-8-97).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La Comisión de Planificación y Administración incorpora cambios a la propuesta y fundamentalmente son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Enfocar el Reglamento desde la perspectiva técnica-administrativa</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Denominar el Reglamento como “Reglamento de Escalafón de Carrera Administrativa”</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Cambiar el nombre de la Comisión de Escalafón No Profesional por “Comisión de Evaluación de Carrera Administrativa”</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Cambiar el nombre de Producción Universitaria por Producción técnico-administrativo</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Se propone la inclusión de labores técnico-administrativas</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sz w:val="22"/>
          <w:szCs w:val="22"/>
          <w:vertAlign w:val="baseline"/>
          <w:rtl w:val="0"/>
        </w:rPr>
        <w:t xml:space="preserve">Se incorpora el concepto de categorías técnica–administrativas</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Se incorpora el concepto de Obras técnico-administrativo y se incluyen diferentes componentes</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Cambios propuestos en la investigación e incremento de puntos en este rubro</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Cambios en lo que respecta a Participación interna oficial</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En el puntaje por créditos universitarios, se agrega que se reconoce cuando permita mayor especialización o aporte en eficiencia al puesto </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Se incluye restricciones sobre idiomas, no se considera la lengua materna</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El término sector no profesional se sustituye por sector administrativo</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Se baja el puntaje máximo por evaluación en el desempeño y se refuerzan otros rubros</w:t>
      </w:r>
      <w:r w:rsidDel="00000000" w:rsidR="00000000" w:rsidRPr="00000000">
        <w:rPr>
          <w:rtl w:val="0"/>
        </w:rPr>
      </w:r>
    </w:p>
    <w:p w:rsidR="00000000" w:rsidDel="00000000" w:rsidP="00000000" w:rsidRDefault="00000000" w:rsidRPr="00000000">
      <w:pPr>
        <w:numPr>
          <w:ilvl w:val="0"/>
          <w:numId w:val="11"/>
        </w:numPr>
        <w:ind w:left="748" w:hanging="374"/>
        <w:jc w:val="both"/>
        <w:rPr/>
      </w:pPr>
      <w:r w:rsidDel="00000000" w:rsidR="00000000" w:rsidRPr="00000000">
        <w:rPr>
          <w:rFonts w:ascii="Arial" w:cs="Arial" w:eastAsia="Arial" w:hAnsi="Arial"/>
          <w:sz w:val="22"/>
          <w:szCs w:val="22"/>
          <w:vertAlign w:val="baseline"/>
          <w:rtl w:val="0"/>
        </w:rPr>
        <w:t xml:space="preserve">Se incrementa el porcentaje de remuneración a los pasos superiores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sz w:val="22"/>
          <w:szCs w:val="22"/>
          <w:vertAlign w:val="baseline"/>
          <w:rtl w:val="0"/>
        </w:rPr>
        <w:t xml:space="preserve">ñ.</w:t>
      </w:r>
      <w:r w:rsidDel="00000000" w:rsidR="00000000" w:rsidRPr="00000000">
        <w:rPr>
          <w:rFonts w:ascii="Arial" w:cs="Arial" w:eastAsia="Arial" w:hAnsi="Arial"/>
          <w:sz w:val="22"/>
          <w:szCs w:val="22"/>
          <w:vertAlign w:val="baseline"/>
          <w:rtl w:val="0"/>
        </w:rPr>
        <w:t xml:space="preserve"> Se incorpora la experiencia como un rubro de producción técnico-administrativo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Es interés institucional y del Consejo Institucional adaptar y actualizar la reglamentación institucional, según los cambios en el entorno y las necesidades cambiantes de funcionarios(as).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74" w:hanging="374"/>
        <w:jc w:val="both"/>
        <w:rPr/>
      </w:pPr>
      <w:r w:rsidDel="00000000" w:rsidR="00000000" w:rsidRPr="00000000">
        <w:rPr>
          <w:rFonts w:ascii="Arial" w:cs="Arial" w:eastAsia="Arial" w:hAnsi="Arial"/>
          <w:sz w:val="22"/>
          <w:szCs w:val="22"/>
          <w:vertAlign w:val="baseline"/>
          <w:rtl w:val="0"/>
        </w:rPr>
        <w:t xml:space="preserve">Según el Artículo 3 de la Segunda Convención Colectiva de Trabajo y sus Reformas, se requiere dar audiencia a la Asociación de Funcionarios (AFITEC) por un plazo de 10 días hábiles, para que emita su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2161, Artículo 9, del 9 de marzo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374" w:hanging="374"/>
        <w:jc w:val="both"/>
        <w:rPr/>
      </w:pPr>
      <w:r w:rsidDel="00000000" w:rsidR="00000000" w:rsidRPr="00000000">
        <w:rPr>
          <w:rFonts w:ascii="Arial" w:cs="Arial" w:eastAsia="Arial" w:hAnsi="Arial"/>
          <w:sz w:val="22"/>
          <w:szCs w:val="22"/>
          <w:vertAlign w:val="baseline"/>
          <w:rtl w:val="0"/>
        </w:rPr>
        <w:t xml:space="preserve">Aprobar la moción sustitutiva al Reglamento de Escalafón No Profesional el documento de Reglamento de Carrera Administrativa y solicitar a los(as) miembros(as) del Consejo Institucional y a la Comisión de Escalafón No Profesional que propongan mociones de fondo respecto a la Propuesta de Escalafón de Carrera Administrativa, en un plazo de 10 días hábiles.  (Documento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374" w:hanging="374"/>
        <w:jc w:val="both"/>
        <w:rPr/>
      </w:pPr>
      <w:r w:rsidDel="00000000" w:rsidR="00000000" w:rsidRPr="00000000">
        <w:rPr>
          <w:rFonts w:ascii="Arial" w:cs="Arial" w:eastAsia="Arial" w:hAnsi="Arial"/>
          <w:sz w:val="22"/>
          <w:szCs w:val="22"/>
          <w:vertAlign w:val="baseline"/>
          <w:rtl w:val="0"/>
        </w:rPr>
        <w:t xml:space="preserve">Dar audiencia y solicitar el criterio a la AFITEC de la Propuesta de Reglamento de Escalafón de Carrera Administrativa y dar un plazo de 10 día hábiles para que emita su pronunciamiento.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374" w:hanging="374"/>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701" w:firstLine="1417.9999999999998"/>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657"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657"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4571" w:firstLine="4288"/>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