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SCI-228-2001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5 de junio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2175, Artículo 2, del  5 de junio del  2001. Presupuesto Extraordinario No. 2-2001</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284" w:right="51"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Ing. Ronald Elizondo en memorando OPI-45-2001, envió a la Comisión de Planificación y Administración una propuesta de Presupuesto Extraordinario              No. 2-2001.</w:t>
      </w:r>
      <w:r w:rsidDel="00000000" w:rsidR="00000000" w:rsidRPr="00000000">
        <w:rPr>
          <w:rtl w:val="0"/>
        </w:rPr>
      </w:r>
    </w:p>
    <w:p w:rsidR="00000000" w:rsidDel="00000000" w:rsidP="00000000" w:rsidRDefault="00000000" w:rsidRPr="00000000">
      <w:pPr>
        <w:ind w:left="284" w:right="51" w:firstLine="0"/>
        <w:contextualSpacing w:val="0"/>
        <w:jc w:val="both"/>
      </w:pPr>
      <w:r w:rsidDel="00000000" w:rsidR="00000000" w:rsidRPr="00000000">
        <w:rPr>
          <w:rtl w:val="0"/>
        </w:rPr>
      </w:r>
    </w:p>
    <w:p w:rsidR="00000000" w:rsidDel="00000000" w:rsidP="00000000" w:rsidRDefault="00000000" w:rsidRPr="00000000">
      <w:pPr>
        <w:numPr>
          <w:ilvl w:val="0"/>
          <w:numId w:val="3"/>
        </w:numPr>
        <w:ind w:left="284" w:right="51"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revisó y analizó esta propuesta y solicitó la incorporación de algunos ajustes, como la no inclusión del préstamo para atender necesidades de pago de cesantía.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3"/>
        </w:numPr>
        <w:ind w:left="284" w:right="51"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oficio R-224-01, el Rector Ing. Alejandro Cruz Molina, envía a la Comisión de Planificación y Administración una nueva propuesta de Presupuesto donde incorpora las sugerencias dadas por esta Comisión.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3"/>
        </w:numPr>
        <w:ind w:left="284" w:right="51"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origen de alguno de los ingresos no corresponde a un presupuesto extraordinario.  La utilización de fondos sin asignación, corresponde a una modificación externa y la revisión de compromisos debe esperar a la liquidación de esos compromisos.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3"/>
        </w:numPr>
        <w:ind w:left="284" w:right="51"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nivel de inflación del año 2000 fue de 10.25%</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Aprobar el Presupuesto Extraordinario No. 2-2001, recomendado por la Rectoría, para la distribución de ingresos y egresos y efectuar el trámite según el procedimiento que considere la normativa de la Contraloría General de la República y los procedimientos internos establecidos para tal fin (según detalle adjunto).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2175, Artículo 2, del 5 de junio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SCI-230-2001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5 de junio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3"/>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Miembros(as) del Consejo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Consejo de 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Prof. Carlos Martínez F., Secretario General de la Asociación de Funcionarios del Instituto Tecnológico de Costa 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Leda Coronado C., Presidente de la Asociación de Profesionales del Instituto Tecnológico de Costa 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8"/>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18"/>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18"/>
              <w:contextualSpacing w:val="0"/>
              <w:jc w:val="both"/>
            </w:pPr>
            <w:r w:rsidDel="00000000" w:rsidR="00000000" w:rsidRPr="00000000">
              <w:rPr>
                <w:rFonts w:ascii="Arial" w:cs="Arial" w:eastAsia="Arial" w:hAnsi="Arial"/>
                <w:b w:val="1"/>
                <w:sz w:val="20"/>
                <w:szCs w:val="20"/>
                <w:vertAlign w:val="baseline"/>
                <w:rtl w:val="0"/>
              </w:rPr>
              <w:t xml:space="preserve">Sesión No. 2175, Artículo 4, del 5 de junio del 2001.  Firmeza del Acuerdo de la Sesión No. 2173, Artículo 5, del 25 de mayo del 2001.  Situación de los compañeros trasladados al Régimen de Pensiones de la Caja Costarricense de Seguro Social (CCSS)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situación de incertidumbre que viven las y los funcionarios trasladados a la CCSS repercute negativamente en el ánimo laboral y que dicha situación merece la atención directa del Consejo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limitaciones económicas para poder hacerle frente al aumento desproporcionado en los porcentajes de cotización impuestos por la Ley 7531 del Régimen de Pensiones y Jubilaciones del Magisterio Nacional, provocó la gestión de traslado al Régimen de la CCSS de los(as) afectados.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tiempo que transcurrió desde 1995, sin que el Gobierno cumpliera con las condiciones de traslado, traspaso y liquidación establecidas en la Ley 7531 y las variaciones en las condiciones para poder pensionarse con las leyes anteriores del Régimen, ha provocado que muchas y muchos compañeros realicen gestiones para que se vuelva a abrir la posibilidad de retorno al Magisterio.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Representantes de la AFITEC recibidos oportunamente en audiencia, instaron al Consejo Institucional a nombrar una comisión que coadyuvara con sus gestiones, en pro del bienestar de los(as) trasladados(as) a la CCSS, como complemento a la contribución institucional e identificación del señor Rector con dicha causa y al trabajo que en ese sentido, oportunamente, se le encomendó desarrollar a la Asesoría Legal del Instituto.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interés del Consejo Institucional garantizar la igualdad de oportunidades y el trato justo a sus colaboradores.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2175, Artículo 5, del 5 de junio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Manifestar la voluntad del Consejo Institucional para integrar una comisión de trabajo, tendiente a buscar soluciones para los trabajadores que enfrentan el problema del traslado al Régimen de la Caja Costarricense del Seguro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Crear una Comisión compuesta por un miembro del Consejo Institucional, un representante de la Asociación de Funcionarios del Instituto Tecnológico de Costa Rica (AFITEC), un representante de Asociación de Profesionales del Instituto Tecnológico de Costa Rica (APROTEC) y un representante de la Rectoría, para atender la problemática de los funcionarios trasladados al Régimen de la Caja Costarricense del Seguro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Con el propósito de que la Comisión defina sus funciones, tomará en cuenta los siguientes lineamientos: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pPr>
      <w:r w:rsidDel="00000000" w:rsidR="00000000" w:rsidRPr="00000000">
        <w:rPr>
          <w:rFonts w:ascii="Arial" w:cs="Arial" w:eastAsia="Arial" w:hAnsi="Arial"/>
          <w:sz w:val="22"/>
          <w:szCs w:val="22"/>
          <w:vertAlign w:val="baseline"/>
          <w:rtl w:val="0"/>
        </w:rPr>
        <w:t xml:space="preserve">Diseñará e implementará acciones tendientes a lograr que se abra la posibilidad de permitir el retorno al Régimen de Pensiones del Magisterio a aquellas personas que así lo deseen, lo mismo que quienes en definitiva estén decididos a optar por consolidar su traslado a la CCSS se les ofrezca la posibilidad  de hacerlo, además de la información y la claridad de las condiciones que deberán regir su futuro y el de sus familiares, en cuanto a invalidez, vejez y muerte.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pPr>
      <w:r w:rsidDel="00000000" w:rsidR="00000000" w:rsidRPr="00000000">
        <w:rPr>
          <w:rFonts w:ascii="Arial" w:cs="Arial" w:eastAsia="Arial" w:hAnsi="Arial"/>
          <w:sz w:val="22"/>
          <w:szCs w:val="22"/>
          <w:vertAlign w:val="baseline"/>
          <w:rtl w:val="0"/>
        </w:rPr>
        <w:t xml:space="preserve">Brindará el apoyo a las iniciativas para lograr que los funcionarios interesados en tener el derecho de retornar al Régimen de Pensiones del Magisterio Nacional puedan hacerlo.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pPr>
      <w:r w:rsidDel="00000000" w:rsidR="00000000" w:rsidRPr="00000000">
        <w:rPr>
          <w:rFonts w:ascii="Arial" w:cs="Arial" w:eastAsia="Arial" w:hAnsi="Arial"/>
          <w:sz w:val="22"/>
          <w:szCs w:val="22"/>
          <w:vertAlign w:val="baseline"/>
          <w:rtl w:val="0"/>
        </w:rPr>
        <w:t xml:space="preserve">Respaldará las acciones para que el Gobierno de la República y la Caja Costarricense del Seguro Social, defina claramente las condiciones y los derechos que gozan los funcionarios que decidan permanecer en el Régimen de la Caja Costarricense del Seguro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Solicitar a la Rectoría, a la Asociación de Funcionarios del Instituto Tecnológico de Costa Rica (AFITEC) y a la Asociación de Profesionales del Instituto Tecnológico de Costa Rica (APROTEC), nombrar un(a) representante en un plazo de 8 días hábiles y comunicarlo al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2175, Artículo 4, del 5 junio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Dar un plazo de seis meses a la Comisión, a partir de su conformación, el cual será prorrogable por un período igual, por acuerdo simple de los y las miembros(as)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Comunidad Institucional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50" w:firstLine="567"/>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05"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