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SCI-233-2001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Ing. Ricardo Aguilar D., Vicerrector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MAE. Bernal Martínez G., Director de la Sede Regional de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Arq. Jorge Sancho Víquez, Director del Centro Académico de San José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 Edgar López R., Director del Departamento de Admisión y Registro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2177, Artículo 3, del 12 de junio del 2001.   Firmeza del Acuerdo de la Sesión No. 2171, Artículo 4, del 18 de mayo del 2001.  Modificación al Calendario Institucional 2001</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right="0" w:hanging="360"/>
        <w:jc w:val="both"/>
        <w:rPr/>
      </w:pPr>
      <w:r w:rsidDel="00000000" w:rsidR="00000000" w:rsidRPr="00000000">
        <w:rPr>
          <w:rFonts w:ascii="Arial" w:cs="Arial" w:eastAsia="Arial" w:hAnsi="Arial"/>
          <w:sz w:val="22"/>
          <w:szCs w:val="22"/>
          <w:vertAlign w:val="baseline"/>
          <w:rtl w:val="0"/>
        </w:rPr>
        <w:t xml:space="preserve">El Consejo Institucional en Sesión No. 2127, Artículo 6, del 7 de julio del 2000, aprobó el Calendario Institucional 2001.</w:t>
      </w:r>
      <w:r w:rsidDel="00000000" w:rsidR="00000000" w:rsidRPr="00000000">
        <w:rPr>
          <w:rtl w:val="0"/>
        </w:rPr>
      </w:r>
    </w:p>
    <w:p w:rsidR="00000000" w:rsidDel="00000000" w:rsidP="00000000" w:rsidRDefault="00000000" w:rsidRPr="00000000">
      <w:pPr>
        <w:ind w:left="360" w:right="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0" w:hanging="360"/>
        <w:jc w:val="both"/>
        <w:rPr/>
      </w:pPr>
      <w:r w:rsidDel="00000000" w:rsidR="00000000" w:rsidRPr="00000000">
        <w:rPr>
          <w:rFonts w:ascii="Arial" w:cs="Arial" w:eastAsia="Arial" w:hAnsi="Arial"/>
          <w:sz w:val="22"/>
          <w:szCs w:val="22"/>
          <w:vertAlign w:val="baseline"/>
          <w:rtl w:val="0"/>
        </w:rPr>
        <w:t xml:space="preserve">El Consejo Institucional en Sesión No. 2170, remitió memorando VIESA-158-2001, a la Comisión de Asuntos Académicos y Estudiantiles, en el cual plantea la modificación al Calendario Institucional 2001.  Dicha modificación está respaldada por el Consejo de Docencia en Sesión No. 04-01, del 25 de abril del 2001.</w:t>
      </w:r>
      <w:r w:rsidDel="00000000" w:rsidR="00000000" w:rsidRPr="00000000">
        <w:rPr>
          <w:rtl w:val="0"/>
        </w:rPr>
      </w:r>
    </w:p>
    <w:p w:rsidR="00000000" w:rsidDel="00000000" w:rsidP="00000000" w:rsidRDefault="00000000" w:rsidRPr="00000000">
      <w:pPr>
        <w:ind w:left="360" w:right="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0" w:hanging="360"/>
        <w:jc w:val="both"/>
        <w:rPr/>
      </w:pPr>
      <w:r w:rsidDel="00000000" w:rsidR="00000000" w:rsidRPr="00000000">
        <w:rPr>
          <w:rFonts w:ascii="Arial" w:cs="Arial" w:eastAsia="Arial" w:hAnsi="Arial"/>
          <w:sz w:val="22"/>
          <w:szCs w:val="22"/>
          <w:vertAlign w:val="baseline"/>
          <w:rtl w:val="0"/>
        </w:rPr>
        <w:t xml:space="preserve">El Consejo de Docencia, fundamenta su planteamiento en una serie de inconvenientes que han venido manifestado en cuanto al traslape entre procesos y a los plazos cortos entre los períodos de matrícula y el inicio de las lecciones </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3"/>
        </w:numPr>
        <w:ind w:left="360" w:right="0" w:hanging="360"/>
        <w:jc w:val="both"/>
        <w:rPr/>
      </w:pPr>
      <w:r w:rsidDel="00000000" w:rsidR="00000000" w:rsidRPr="00000000">
        <w:rPr>
          <w:rFonts w:ascii="Arial" w:cs="Arial" w:eastAsia="Arial" w:hAnsi="Arial"/>
          <w:sz w:val="22"/>
          <w:szCs w:val="22"/>
          <w:vertAlign w:val="baseline"/>
          <w:rtl w:val="0"/>
        </w:rPr>
        <w:t xml:space="preserve">El Consejo Institucional ha recibido las expresiones del interés de centenares de estudiantes que desean recibir el curso intensivo a mediados del presente año.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2177, Artículo 3, del 12 de junio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3"/>
        </w:numPr>
        <w:ind w:left="360" w:right="0" w:hanging="360"/>
        <w:jc w:val="both"/>
        <w:rPr/>
      </w:pPr>
      <w:r w:rsidDel="00000000" w:rsidR="00000000" w:rsidRPr="00000000">
        <w:rPr>
          <w:rFonts w:ascii="Arial" w:cs="Arial" w:eastAsia="Arial" w:hAnsi="Arial"/>
          <w:sz w:val="22"/>
          <w:szCs w:val="22"/>
          <w:vertAlign w:val="baseline"/>
          <w:rtl w:val="0"/>
        </w:rPr>
        <w:t xml:space="preserve">Es preocupación del Consejo Institucional, dar respuesta a las necesidades de sus estudiantes en especial a aquellas tendientes a disminuir del período de permanencia y la deserción estudiantil.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pPr>
      <w:r w:rsidDel="00000000" w:rsidR="00000000" w:rsidRPr="00000000">
        <w:rPr>
          <w:rFonts w:ascii="Arial" w:cs="Arial" w:eastAsia="Arial" w:hAnsi="Arial"/>
          <w:sz w:val="22"/>
          <w:szCs w:val="22"/>
          <w:vertAlign w:val="baseline"/>
          <w:rtl w:val="0"/>
        </w:rPr>
        <w:t xml:space="preserve">Suspender para el año 2001 el período de Cursos Intensivos de medio año y reiterar la decisión de que estos cursos se continúen ofreciendo en los años subsiguientes.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pPr>
      <w:r w:rsidDel="00000000" w:rsidR="00000000" w:rsidRPr="00000000">
        <w:rPr>
          <w:rFonts w:ascii="Arial" w:cs="Arial" w:eastAsia="Arial" w:hAnsi="Arial"/>
          <w:sz w:val="22"/>
          <w:szCs w:val="22"/>
          <w:vertAlign w:val="baseline"/>
          <w:rtl w:val="0"/>
        </w:rPr>
        <w:t xml:space="preserve">Aprobar las siguientes modificaciones al Calendario Institucional para el año 2001: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right="567" w:firstLine="0"/>
        <w:contextualSpacing w:val="0"/>
      </w:pPr>
      <w:r w:rsidDel="00000000" w:rsidR="00000000" w:rsidRPr="00000000">
        <w:rPr>
          <w:rFonts w:ascii="Arial" w:cs="Arial" w:eastAsia="Arial" w:hAnsi="Arial"/>
          <w:b w:val="1"/>
          <w:sz w:val="22"/>
          <w:szCs w:val="22"/>
          <w:vertAlign w:val="baseline"/>
          <w:rtl w:val="0"/>
        </w:rPr>
        <w:t xml:space="preserve">I  Períodos Lectivos</w:t>
      </w:r>
    </w:p>
    <w:p w:rsidR="00000000" w:rsidDel="00000000" w:rsidP="00000000" w:rsidRDefault="00000000" w:rsidRPr="00000000">
      <w:pPr>
        <w:contextualSpacing w:val="0"/>
      </w:pPr>
      <w:r w:rsidDel="00000000" w:rsidR="00000000" w:rsidRPr="00000000">
        <w:rPr>
          <w:rtl w:val="0"/>
        </w:rPr>
      </w:r>
    </w:p>
    <w:tbl>
      <w:tblPr>
        <w:tblStyle w:val="Table2"/>
        <w:bidi w:val="0"/>
        <w:tblW w:w="808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552"/>
        <w:gridCol w:w="2268"/>
        <w:tblGridChange w:id="0">
          <w:tblGrid>
            <w:gridCol w:w="3260"/>
            <w:gridCol w:w="2552"/>
            <w:gridCol w:w="226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Período lectivo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Inicio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 Semestre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23 de julio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28 de noviembre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Cursos Intensivos 2001-2002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03 de diciembre 2001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16 de enero 2002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right="567" w:firstLine="0"/>
        <w:contextualSpacing w:val="0"/>
      </w:pPr>
      <w:r w:rsidDel="00000000" w:rsidR="00000000" w:rsidRPr="00000000">
        <w:rPr>
          <w:rFonts w:ascii="Arial" w:cs="Arial" w:eastAsia="Arial" w:hAnsi="Arial"/>
          <w:b w:val="1"/>
          <w:sz w:val="22"/>
          <w:szCs w:val="22"/>
          <w:vertAlign w:val="baseline"/>
          <w:rtl w:val="0"/>
        </w:rPr>
        <w:t xml:space="preserve">III  Vacaciones</w:t>
      </w:r>
    </w:p>
    <w:p w:rsidR="00000000" w:rsidDel="00000000" w:rsidP="00000000" w:rsidRDefault="00000000" w:rsidRPr="00000000">
      <w:pPr>
        <w:contextualSpacing w:val="0"/>
      </w:pPr>
      <w:r w:rsidDel="00000000" w:rsidR="00000000" w:rsidRPr="00000000">
        <w:rPr>
          <w:rtl w:val="0"/>
        </w:rPr>
      </w:r>
    </w:p>
    <w:tbl>
      <w:tblPr>
        <w:tblStyle w:val="Table3"/>
        <w:bidi w:val="0"/>
        <w:tblW w:w="808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552"/>
        <w:gridCol w:w="2268"/>
        <w:tblGridChange w:id="0">
          <w:tblGrid>
            <w:gridCol w:w="3260"/>
            <w:gridCol w:w="2552"/>
            <w:gridCol w:w="2268"/>
          </w:tblGrid>
        </w:tblGridChange>
      </w:tblGrid>
      <w:tr>
        <w:trPr>
          <w:trHeight w:val="3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VACACIONES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INICIO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Vacaciones 2001-2002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17diciembre 2001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al 11 enero 2002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Asamblea Institucional Representativa</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Tribunal Institucional Electoral</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Orientación y Psicología</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Trabajo Social y Salud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AFITEC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APROTEC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Comunidad Institucional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SCI-234-2001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12 de junio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5"/>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 (AFITEC)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2177, Artículo 1, del 12 de junio del 2001.   Consulta a la AFITEC sobre Propuesta de Reforma Integral al Reglamento de Carrera Profesional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4"/>
        </w:numPr>
        <w:ind w:left="284" w:right="18"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2163, Artículo 12, del 16 de marzo del 2001, acordó enviar al Comité Ejecutivo de la Asociación de Funcionarios del Instituto Tecnológico de Costa Rica (AFITEC), la propuesta de Reforma Integral al Reglamento de Carrera Profesional del Instituto Tecnológico de Costa Rica, además le concedió un plazo de 10 días hábiles a partir de recibido el documento, para que remitiera las observaciones correspondientes, a más tardar el 4 de abril del presente año.</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4"/>
        </w:numPr>
        <w:ind w:left="284" w:right="18"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2164 conoció nota del Prof. Carlos Martínez, Secretario General de la Asociación de Funcionarios del Instituto Tecnológico de Costa Rica (AFITEC), en la cual desestimó pronunciarse hasta la fecha sobre la propuesta de reforma integral del Reglamento de Carrera Profesional que ha estado discutiendo el Consejo Institucional.</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4"/>
        </w:numPr>
        <w:ind w:left="284" w:right="18"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criterio del Consejo Institucional que se debe hacer el mayor esfuerzo posible para que se utilicen los canales de participación democrática que tienen todos los miembros de la Comunidad Institucional, por eso se considera importante reiterar el espacio de consulta a la AFITEC.</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90" w:right="18" w:hanging="390"/>
        <w:jc w:val="both"/>
        <w:rPr/>
      </w:pPr>
      <w:r w:rsidDel="00000000" w:rsidR="00000000" w:rsidRPr="00000000">
        <w:rPr>
          <w:rFonts w:ascii="Arial" w:cs="Arial" w:eastAsia="Arial" w:hAnsi="Arial"/>
          <w:sz w:val="22"/>
          <w:szCs w:val="22"/>
          <w:vertAlign w:val="baseline"/>
          <w:rtl w:val="0"/>
        </w:rPr>
        <w:t xml:space="preserve">Enviar a la Asociación de Funcionarios del Instituto Tecnológico de Costa Rica (AFITEC), para que emita sus observaciones y sugerencias, a  la propuesta base del Reglamento de Carrera Profesional, con las modificaciones incorporadas en la Sesión 2177, haciendo la aclaración al señor Carlos Martínez, Secretario General de esa organización, que el Consejo Institucional terminó de ver todas las mociones y ha dado por agotado el trabajo previo a la consulta. (documento adjunto)</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ind w:right="18"/>
        <w:contextualSpacing w:val="0"/>
        <w:jc w:val="left"/>
      </w:pPr>
      <w:r w:rsidDel="00000000" w:rsidR="00000000" w:rsidRPr="00000000">
        <w:rPr>
          <w:rFonts w:ascii="Arial" w:cs="Arial" w:eastAsia="Arial" w:hAnsi="Arial"/>
          <w:b w:val="1"/>
          <w:sz w:val="20"/>
          <w:szCs w:val="20"/>
          <w:u w:val="none"/>
          <w:vertAlign w:val="baseline"/>
          <w:rtl w:val="0"/>
        </w:rPr>
        <w:t xml:space="preserve">Sesión No. 2177, Artículo 1, del 12 de junio del 2001</w:t>
      </w:r>
    </w:p>
    <w:p w:rsidR="00000000" w:rsidDel="00000000" w:rsidP="00000000" w:rsidRDefault="00000000" w:rsidRPr="00000000">
      <w:pPr>
        <w:spacing w:after="0" w:before="0" w:line="240" w:lineRule="auto"/>
        <w:ind w:right="18"/>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90" w:right="18" w:hanging="390"/>
        <w:jc w:val="both"/>
        <w:rPr/>
      </w:pPr>
      <w:r w:rsidDel="00000000" w:rsidR="00000000" w:rsidRPr="00000000">
        <w:rPr>
          <w:rFonts w:ascii="Arial" w:cs="Arial" w:eastAsia="Arial" w:hAnsi="Arial"/>
          <w:sz w:val="22"/>
          <w:szCs w:val="22"/>
          <w:vertAlign w:val="baseline"/>
          <w:rtl w:val="0"/>
        </w:rPr>
        <w:t xml:space="preserve">Dar un plazo de 10 días hábiles a partir de la comunicación de este acuerdo, para que la AFITEC presente por escrito sus observaciones y sugerencias, para que el Consejo Institucional pueda conocer los planteamientos del Comité Ejecutivo de esa organización y pueda tomar en cuenta sus opiniones antes de aprobar la Propuesta de Reforma Integral de este Reglamento.</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90" w:right="18" w:hanging="390"/>
        <w:jc w:val="both"/>
        <w:rPr/>
      </w:pPr>
      <w:r w:rsidDel="00000000" w:rsidR="00000000" w:rsidRPr="00000000">
        <w:rPr>
          <w:rFonts w:ascii="Arial" w:cs="Arial" w:eastAsia="Arial" w:hAnsi="Arial"/>
          <w:sz w:val="22"/>
          <w:szCs w:val="22"/>
          <w:vertAlign w:val="baseline"/>
          <w:rtl w:val="0"/>
        </w:rPr>
        <w:t xml:space="preserve">Encargar a la Comisión de Asuntos Académicos y Estudiantiles, para que una vez recibidas las observaciones y recomendaciones que haga el Comité Ejecutivo de la AFITEC, presente un dictamen a este Consejo, para poder concluir el proceso de aprobación de la Reforma Integral del Reglamento de Carrera Profesional.</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1"/>
        </w:numPr>
        <w:ind w:left="390" w:right="571" w:hanging="39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right="571"/>
        <w:contextualSpacing w:val="0"/>
        <w:jc w:val="both"/>
      </w:pPr>
      <w:r w:rsidDel="00000000" w:rsidR="00000000" w:rsidRPr="00000000">
        <w:rPr>
          <w:rtl w:val="0"/>
        </w:rPr>
      </w:r>
    </w:p>
    <w:p w:rsidR="00000000" w:rsidDel="00000000" w:rsidP="00000000" w:rsidRDefault="00000000" w:rsidRPr="00000000">
      <w:pPr>
        <w:ind w:right="57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6"/>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Asamblea Institucional Representativa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Tribunal Institucional Electoral </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Comisión de Evaluación Profesional</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APROTEC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