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keepNext w:val="1"/>
        <w:tabs>
          <w:tab w:val="left" w:pos="3686"/>
          <w:tab w:val="left" w:pos="7560"/>
        </w:tabs>
        <w:spacing w:after="0" w:before="0" w:line="240" w:lineRule="auto"/>
        <w:ind w:right="51"/>
        <w:contextualSpacing w:val="0"/>
        <w:jc w:val="right"/>
      </w:pPr>
      <w:r w:rsidDel="00000000" w:rsidR="00000000" w:rsidRPr="00000000">
        <w:rPr>
          <w:rFonts w:ascii="Arial" w:cs="Arial" w:eastAsia="Arial" w:hAnsi="Arial"/>
          <w:b w:val="1"/>
          <w:sz w:val="20"/>
          <w:szCs w:val="20"/>
          <w:vertAlign w:val="baseline"/>
          <w:rtl w:val="0"/>
        </w:rPr>
        <w:t xml:space="preserve">SCI-249-2001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22 de junio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Bach. Miguel Solano S., Director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2180, Artículo 3, del 22 de junio del 2001.   Presupuesto Extraordinario No. 1-2001</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Mediante oficio R-244-2001, dirigido a la Contraloría General de la Republica, la Administración procedió a retirar de la Contraloría General de la República el Presupuesto Extraordinario No. 1-2001, que ya había sido aprobado por este Consejo, con el objeto de realizar una labor de integración y debido a la imposibilidad de dicha Institución de aprobarla.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La Administración presentó el documento Presupuesto Extraordinario No. 2-2001, el cual fue dictaminado por la Comisión de Administración y Planificación y la Auditoría Interna.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Si bien existen las dos opciones a saber, documentos separados o bien uno solo consolidado; este Consejo Institucional estima que desde un punto de vista técnico y de conveniencia ambos documentos deben ser consolidados.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Se cuenta, con dictámenes favorables de ambos documentos por parte de la Comisión de Administración y Planificación y de la Auditoría Interna, con recomendaciones para la Administración.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tabs>
          <w:tab w:val="left" w:pos="3686"/>
          <w:tab w:val="left" w:pos="7560"/>
        </w:tabs>
        <w:spacing w:after="0" w:before="0" w:line="240" w:lineRule="auto"/>
        <w:ind w:right="51"/>
        <w:contextualSpacing w:val="0"/>
        <w:jc w:val="left"/>
      </w:pPr>
      <w:r w:rsidDel="00000000" w:rsidR="00000000" w:rsidRPr="00000000">
        <w:rPr>
          <w:rFonts w:ascii="Arial" w:cs="Arial" w:eastAsia="Arial" w:hAnsi="Arial"/>
          <w:b w:val="1"/>
          <w:sz w:val="20"/>
          <w:szCs w:val="20"/>
          <w:vertAlign w:val="baseline"/>
          <w:rtl w:val="0"/>
        </w:rPr>
        <w:t xml:space="preserve">Sesión No. 2180, Artículo 3, del 22 de junio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Derogar el acuerdo tomado por el Consejo Institucional, en Sesión No. 2169, Artículo 4, del 4 de mayo del 2001, sobre el Presupuesto Extraordinario 1-2001.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Aprobar el Presupuesto Extraordinario 1-2001 por un monto de ¢327 589.3 miles de colones y la Modificación del Plan Anual Operativo 1-2001.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SCI-250-2001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22 de junio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3"/>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Josefa Guzmán L., Vicerrectora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Dr. Gerardo Navarro R., Coordinador Programa Educación Técnica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Pedro M., Ramírez L., Director de la Escuela de Ingeniería Agropecuaria Administrativa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Oscar Gamboa C., Coordinador de la Comisión de Asuntos Académicos y Estudiantiles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Ricardo Aguilar D., Presidente ai.,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2180, Artículo 10, del  22 de junio del 2001.  Modificaciones al Reglamento del Programa de Educación Técnica del Instituto Tecnológico de Costa Rica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5" w:right="23" w:hanging="42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de Escuela de Ingeniería Agropecuaria Administrativa ha solicitado en reiteradas ocasiones a la Vicerrectoría de Docencia, la tramitación de las modificaciones al Reglamento del Programa de Educación Técnica.</w:t>
      </w:r>
      <w:r w:rsidDel="00000000" w:rsidR="00000000" w:rsidRPr="00000000">
        <w:rPr>
          <w:rtl w:val="0"/>
        </w:rPr>
      </w:r>
    </w:p>
    <w:p w:rsidR="00000000" w:rsidDel="00000000" w:rsidP="00000000" w:rsidRDefault="00000000" w:rsidRPr="00000000">
      <w:pPr>
        <w:ind w:right="23"/>
        <w:contextualSpacing w:val="0"/>
        <w:jc w:val="both"/>
      </w:pPr>
      <w:r w:rsidDel="00000000" w:rsidR="00000000" w:rsidRPr="00000000">
        <w:rPr>
          <w:rtl w:val="0"/>
        </w:rPr>
      </w:r>
    </w:p>
    <w:p w:rsidR="00000000" w:rsidDel="00000000" w:rsidP="00000000" w:rsidRDefault="00000000" w:rsidRPr="00000000">
      <w:pPr>
        <w:numPr>
          <w:ilvl w:val="0"/>
          <w:numId w:val="1"/>
        </w:numPr>
        <w:ind w:left="425" w:right="23" w:hanging="42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Asesoría Legal del ITCR se pronunció acerca de la incompatibilidad de algunos artículos del Reglamento de Educación Técnica con el Estatuto Orgánico de la Institución.</w:t>
      </w:r>
      <w:r w:rsidDel="00000000" w:rsidR="00000000" w:rsidRPr="00000000">
        <w:rPr>
          <w:rtl w:val="0"/>
        </w:rPr>
      </w:r>
    </w:p>
    <w:p w:rsidR="00000000" w:rsidDel="00000000" w:rsidP="00000000" w:rsidRDefault="00000000" w:rsidRPr="00000000">
      <w:pPr>
        <w:ind w:right="23"/>
        <w:contextualSpacing w:val="0"/>
        <w:jc w:val="both"/>
      </w:pPr>
      <w:r w:rsidDel="00000000" w:rsidR="00000000" w:rsidRPr="00000000">
        <w:rPr>
          <w:rtl w:val="0"/>
        </w:rPr>
      </w:r>
    </w:p>
    <w:p w:rsidR="00000000" w:rsidDel="00000000" w:rsidP="00000000" w:rsidRDefault="00000000" w:rsidRPr="00000000">
      <w:pPr>
        <w:numPr>
          <w:ilvl w:val="0"/>
          <w:numId w:val="1"/>
        </w:numPr>
        <w:ind w:left="425" w:right="23" w:hanging="42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Dicha Asesoría Legal dictaminó positivamente acerca de la propuesta de modificación de dicho Reglamento, presentada por el Consejo de Escuela de Ingeniería Agropecuaria Administrativa.</w:t>
      </w:r>
      <w:r w:rsidDel="00000000" w:rsidR="00000000" w:rsidRPr="00000000">
        <w:rPr>
          <w:rtl w:val="0"/>
        </w:rPr>
      </w:r>
    </w:p>
    <w:p w:rsidR="00000000" w:rsidDel="00000000" w:rsidP="00000000" w:rsidRDefault="00000000" w:rsidRPr="00000000">
      <w:pPr>
        <w:ind w:right="23"/>
        <w:contextualSpacing w:val="0"/>
        <w:jc w:val="both"/>
      </w:pPr>
      <w:r w:rsidDel="00000000" w:rsidR="00000000" w:rsidRPr="00000000">
        <w:rPr>
          <w:rtl w:val="0"/>
        </w:rPr>
      </w:r>
    </w:p>
    <w:p w:rsidR="00000000" w:rsidDel="00000000" w:rsidP="00000000" w:rsidRDefault="00000000" w:rsidRPr="00000000">
      <w:pPr>
        <w:numPr>
          <w:ilvl w:val="0"/>
          <w:numId w:val="1"/>
        </w:numPr>
        <w:ind w:left="425" w:right="23" w:hanging="42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Dichas modificaciones fueron entregadas tanto a la Vicerrectoría de Docencia como a la Secretaría del Consejo Institucional para que se procediera al análisis y rectificación correspondiente.</w:t>
      </w:r>
      <w:r w:rsidDel="00000000" w:rsidR="00000000" w:rsidRPr="00000000">
        <w:rPr>
          <w:rtl w:val="0"/>
        </w:rPr>
      </w:r>
    </w:p>
    <w:p w:rsidR="00000000" w:rsidDel="00000000" w:rsidP="00000000" w:rsidRDefault="00000000" w:rsidRPr="00000000">
      <w:pPr>
        <w:ind w:right="23"/>
        <w:contextualSpacing w:val="0"/>
        <w:jc w:val="both"/>
      </w:pPr>
      <w:r w:rsidDel="00000000" w:rsidR="00000000" w:rsidRPr="00000000">
        <w:rPr>
          <w:rtl w:val="0"/>
        </w:rPr>
      </w:r>
    </w:p>
    <w:p w:rsidR="00000000" w:rsidDel="00000000" w:rsidP="00000000" w:rsidRDefault="00000000" w:rsidRPr="00000000">
      <w:pPr>
        <w:numPr>
          <w:ilvl w:val="0"/>
          <w:numId w:val="1"/>
        </w:numPr>
        <w:ind w:left="425" w:right="23" w:hanging="42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Programa de Educación Técnica ha solicitado al Consejo de Escuela de Ingeniería Agropecuaria Administrativa, algunas decisiones prioritarias y de gran importancia para el mismo, las cuales dicho Consejo no ha podido conocer por la ausencia de una reglamentación acorde a lo estipulado en el Estatuto Orgánico del ITCR.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tabs>
          <w:tab w:val="left" w:pos="3686"/>
          <w:tab w:val="left" w:pos="7560"/>
        </w:tabs>
        <w:spacing w:after="0" w:before="0" w:line="240" w:lineRule="auto"/>
        <w:ind w:right="51"/>
        <w:contextualSpacing w:val="0"/>
        <w:jc w:val="left"/>
      </w:pPr>
      <w:r w:rsidDel="00000000" w:rsidR="00000000" w:rsidRPr="00000000">
        <w:rPr>
          <w:rFonts w:ascii="Arial" w:cs="Arial" w:eastAsia="Arial" w:hAnsi="Arial"/>
          <w:b w:val="1"/>
          <w:sz w:val="20"/>
          <w:szCs w:val="20"/>
          <w:vertAlign w:val="baseline"/>
          <w:rtl w:val="0"/>
        </w:rPr>
        <w:t xml:space="preserve">Sesión No. 2180, Artículo 10, del 22 de junio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spacing w:before="120" w:lineRule="auto"/>
        <w:ind w:left="284" w:right="23" w:hanging="284"/>
        <w:contextualSpacing w:val="0"/>
        <w:jc w:val="both"/>
      </w:pPr>
      <w:r w:rsidDel="00000000" w:rsidR="00000000" w:rsidRPr="00000000">
        <w:rPr>
          <w:rtl w:val="0"/>
        </w:rPr>
      </w:r>
    </w:p>
    <w:p w:rsidR="00000000" w:rsidDel="00000000" w:rsidP="00000000" w:rsidRDefault="00000000" w:rsidRPr="00000000">
      <w:pPr>
        <w:ind w:right="20"/>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20"/>
        <w:contextualSpacing w:val="0"/>
      </w:pPr>
      <w:r w:rsidDel="00000000" w:rsidR="00000000" w:rsidRPr="00000000">
        <w:rPr>
          <w:rtl w:val="0"/>
        </w:rPr>
      </w:r>
    </w:p>
    <w:p w:rsidR="00000000" w:rsidDel="00000000" w:rsidP="00000000" w:rsidRDefault="00000000" w:rsidRPr="00000000">
      <w:pPr>
        <w:numPr>
          <w:ilvl w:val="0"/>
          <w:numId w:val="2"/>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Trasladar a la Comisión de Asuntos Académicos y Estudiantiles, las modificaciones presentadas por el Consejo de Escuela de Ingeniería Agropecuaria Administrativa al Reglamento del Programa de Educación Técnica del Instituto Tecnológico de Costa Rica, aprobado por el Consejo Institucional en Sesión Nº 2097, Artículo 6, del 16 de diciembre de 1999.</w:t>
      </w:r>
      <w:r w:rsidDel="00000000" w:rsidR="00000000" w:rsidRPr="00000000">
        <w:rPr>
          <w:rtl w:val="0"/>
        </w:rPr>
      </w:r>
    </w:p>
    <w:p w:rsidR="00000000" w:rsidDel="00000000" w:rsidP="00000000" w:rsidRDefault="00000000" w:rsidRPr="00000000">
      <w:pPr>
        <w:ind w:left="360" w:right="2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Que dicho análisis sea presentado ante el Consejo Institucional a más tardar el 31 de julio del 2001, para su discusión y aprobación.</w:t>
      </w:r>
      <w:r w:rsidDel="00000000" w:rsidR="00000000" w:rsidRPr="00000000">
        <w:rPr>
          <w:rtl w:val="0"/>
        </w:rPr>
      </w:r>
    </w:p>
    <w:p w:rsidR="00000000" w:rsidDel="00000000" w:rsidP="00000000" w:rsidRDefault="00000000" w:rsidRPr="00000000">
      <w:pPr>
        <w:ind w:left="360" w:right="2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right="2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4"/>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595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850" w:firstLine="567"/>
      </w:pPr>
      <w:rPr>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