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COMUNICACIÓN DE ACUERDO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86"/>
        </w:tabs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SCI-303-2001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17 de agosto del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51"/>
        <w:contextualSpacing w:val="0"/>
        <w:jc w:val="righ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78.0" w:type="dxa"/>
        <w:jc w:val="left"/>
        <w:tblInd w:w="-70.0" w:type="dxa"/>
        <w:tblLayout w:type="fixed"/>
        <w:tblLook w:val="0000"/>
      </w:tblPr>
      <w:tblGrid>
        <w:gridCol w:w="1346"/>
        <w:gridCol w:w="7632"/>
        <w:tblGridChange w:id="0">
          <w:tblGrid>
            <w:gridCol w:w="1346"/>
            <w:gridCol w:w="76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RECTORÍA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Ing. Ronald Elizondo C., Director de la Oficina de Planificación Institucional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right="-93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Licda. Ana Isabel Solano B., MBA., Vicerrectora de Administración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Bach. José Miguel Solano S., Director del Departamento Financiero Contable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Ing. Alejandro Cruz Molina, Presidente del Consejo Institucional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5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544"/>
              </w:tabs>
              <w:ind w:right="51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ASUNTO: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51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Sesión No. 2188, Artículo 7, del 17 de agosto del 2001.  Ingresos percibidos por los Laboratorios Especializados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134"/>
          <w:tab w:val="left" w:pos="1418"/>
        </w:tabs>
        <w:ind w:right="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Para los fines consiguientes, le transcribo el acuerdo citado en la referencia.  Este acuerdo dice: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CONSIDERANDO QUE: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74" w:hanging="37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 definió como lineamiento para el cierre del Presupuesto 1999, que todo alquiler de edificio y equipo del Instituto Tecnológico de Costa Rica entrara a caja única.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74" w:hanging="37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Existen Escuelas que han transformado aulas en laboratorios especializados que no sólo han permitido ofrecer servicios a la comunidad, sino que ha fortalecido el apoyo a la academia.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74" w:hanging="37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fortalecimiento y creación de laboratorios especializados ha sido por un aporte importante de los ingresos generados por las Escuelas con estos laboratorios, tal como lo afirman las siguientes Escuelas: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8" w:hanging="37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“Desde un inicio, los ingresos percibidos por la Escuela de Electrónica, como resultado de las actividades desarrolladas vía FUNDATEC, han sido reinvertidos por la Escuela en mejoras a la infraestructura y al equipamiento.” EE-114-2001.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48" w:hanging="37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748" w:hanging="374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“El Centro utiliza estos ingresos para cubrir sus costos de operación, puesto que no recibe presupuesto institucional para este fin” CIVCO 31-01.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74" w:hanging="37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Consejo Institucional, ha aprobado el destino específico de algunos ingresos, un caso es el de Residencias de San Carlos en la Sesión No. 2121, Artículo 7, del 2 de junio del 2001, donde se acordó: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48" w:hanging="374"/>
        <w:jc w:val="both"/>
        <w:rPr>
          <w:b w:val="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Destinar todos los ingresos procedentes del pago de los(as) estudiantes por el daño o extravío del mobiliario y del daño de los edificios, al mantenimiento o recuperación de los mismos.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COMUNICACIÓN DE ACUERDO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vertAlign w:val="baseline"/>
          <w:rtl w:val="0"/>
        </w:rPr>
        <w:t xml:space="preserve">Sesión No. 2188, Artículo 7, del 17 de agosto del 2001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Página 2</w:t>
      </w:r>
    </w:p>
    <w:p w:rsidR="00000000" w:rsidDel="00000000" w:rsidP="00000000" w:rsidRDefault="00000000" w:rsidRPr="00000000">
      <w:pPr>
        <w:ind w:left="37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7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74" w:hanging="37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de interés del Consejo Institucional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91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Los ingresos que se generen vía Instituto Tecnológico y FUNDATEC, fortalezcan la principal actividad de esta Universidad que es la academia.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right="918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918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uso principal que tengan estos laboratorios sea en las actividades académicas (docencia, investigación y extensión) de esta Institución y como actividad secundaria, la prestación de servicios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Que a partir del Presupuesto 2002, los ingresos por concepto de alquiler de laboratorios especializados ingresarán al Instituto Tecnológico de Costa Rica y serán presupuestados en las respectivas Escuelas que los generaron para su mantenimiento y equipamiento.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Comunicar.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ACUERDO FIRME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BSS/gfm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4750.0" w:type="dxa"/>
        <w:jc w:val="left"/>
        <w:tblInd w:w="-70.0" w:type="dxa"/>
        <w:tblLayout w:type="fixed"/>
        <w:tblLook w:val="0000"/>
      </w:tblPr>
      <w:tblGrid>
        <w:gridCol w:w="4750"/>
        <w:tblGridChange w:id="0">
          <w:tblGrid>
            <w:gridCol w:w="47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   Secretaría del Consejo Institucional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hanging="284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Auditoría Interna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Asesoría Legal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Vicerrectoría de Docencia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VIESA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right="567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Centro Académico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ind w:left="284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Sede Regional San Carlos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284" w:right="51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FEITEC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954"/>
      </w:tabs>
      <w:spacing w:before="708" w:lineRule="auto"/>
      <w:ind w:right="-91"/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Instituto Tecnológico de Costa Rica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Secretaría Consejo Institucional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5954"/>
      </w:tabs>
      <w:contextualSpacing w:val="0"/>
      <w:jc w:val="right"/>
    </w:pP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Ext. 2217-2239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ind w:right="-374"/>
      <w:contextualSpacing w:val="0"/>
    </w:pPr>
    <w:r w:rsidDel="00000000" w:rsidR="00000000" w:rsidRPr="00000000">
      <w:drawing>
        <wp:inline distB="0" distT="0" distL="114300" distR="114300">
          <wp:extent cx="5745480" cy="15367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5480" cy="153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4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8760" w:firstLine="8400"/>
      </w:pPr>
      <w:rPr>
        <w:rFonts w:ascii="Arial" w:cs="Arial" w:eastAsia="Arial" w:hAnsi="Arial"/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850" w:firstLine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