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SCI-463-2001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9 de noviembre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Lic. Edgar López R., Director del Departamento de Admisión y Registro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2203, Artículo 2, del 9 de noviembre  del 2001. Calendario Institucional 2002</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ind w:left="360" w:right="0" w:hanging="360"/>
        <w:jc w:val="both"/>
        <w:rPr/>
      </w:pPr>
      <w:r w:rsidDel="00000000" w:rsidR="00000000" w:rsidRPr="00000000">
        <w:rPr>
          <w:rFonts w:ascii="Arial" w:cs="Arial" w:eastAsia="Arial" w:hAnsi="Arial"/>
          <w:sz w:val="22"/>
          <w:szCs w:val="22"/>
          <w:vertAlign w:val="baseline"/>
          <w:rtl w:val="0"/>
        </w:rPr>
        <w:t xml:space="preserve">El Reglamento para la Elaboración y Modificación del Cronograma Institucional, establece las diferentes actividades que deben registrarse en el Calendario Institucional.</w:t>
      </w:r>
      <w:r w:rsidDel="00000000" w:rsidR="00000000" w:rsidRPr="00000000">
        <w:rPr>
          <w:rtl w:val="0"/>
        </w:rPr>
      </w:r>
    </w:p>
    <w:p w:rsidR="00000000" w:rsidDel="00000000" w:rsidP="00000000" w:rsidRDefault="00000000" w:rsidRPr="00000000">
      <w:pPr>
        <w:ind w:left="360" w:right="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0" w:hanging="360"/>
        <w:jc w:val="both"/>
        <w:rPr/>
      </w:pPr>
      <w:r w:rsidDel="00000000" w:rsidR="00000000" w:rsidRPr="00000000">
        <w:rPr>
          <w:rFonts w:ascii="Arial" w:cs="Arial" w:eastAsia="Arial" w:hAnsi="Arial"/>
          <w:sz w:val="22"/>
          <w:szCs w:val="22"/>
          <w:vertAlign w:val="baseline"/>
          <w:rtl w:val="0"/>
        </w:rPr>
        <w:t xml:space="preserve">El Reglamento para la Elaboración y Modificación del Cronograma Institucional, en los Artículos 7 y 8 establece las actividades que deben ser aprobadas por el Consejo Institucional, para que sirvan de referencia para la formulación del calendario de cada año.</w:t>
      </w:r>
      <w:r w:rsidDel="00000000" w:rsidR="00000000" w:rsidRPr="00000000">
        <w:rPr>
          <w:rtl w:val="0"/>
        </w:rPr>
      </w:r>
    </w:p>
    <w:p w:rsidR="00000000" w:rsidDel="00000000" w:rsidP="00000000" w:rsidRDefault="00000000" w:rsidRPr="00000000">
      <w:pPr>
        <w:ind w:left="360" w:right="0" w:hanging="360"/>
        <w:contextualSpacing w:val="0"/>
        <w:jc w:val="both"/>
      </w:pPr>
      <w:r w:rsidDel="00000000" w:rsidR="00000000" w:rsidRPr="00000000">
        <w:rPr>
          <w:rtl w:val="0"/>
        </w:rPr>
      </w:r>
    </w:p>
    <w:p w:rsidR="00000000" w:rsidDel="00000000" w:rsidP="00000000" w:rsidRDefault="00000000" w:rsidRPr="00000000">
      <w:pPr>
        <w:numPr>
          <w:ilvl w:val="0"/>
          <w:numId w:val="4"/>
        </w:numPr>
        <w:ind w:left="360" w:right="0" w:hanging="360"/>
        <w:jc w:val="both"/>
        <w:rPr/>
      </w:pPr>
      <w:r w:rsidDel="00000000" w:rsidR="00000000" w:rsidRPr="00000000">
        <w:rPr>
          <w:rFonts w:ascii="Arial" w:cs="Arial" w:eastAsia="Arial" w:hAnsi="Arial"/>
          <w:sz w:val="22"/>
          <w:szCs w:val="22"/>
          <w:vertAlign w:val="baseline"/>
          <w:rtl w:val="0"/>
        </w:rPr>
        <w:t xml:space="preserve">El Consejo Institucional recibió del Vicerrector de Vida Estudiantil y Servicios Académicos (VIESA-372-2002) la propuesta de Calendario Institucional para el 2002, con el correspondiente aval del Vicerrector de Docencia.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rPr/>
      </w:pPr>
      <w:r w:rsidDel="00000000" w:rsidR="00000000" w:rsidRPr="00000000">
        <w:rPr>
          <w:rFonts w:ascii="Arial" w:cs="Arial" w:eastAsia="Arial" w:hAnsi="Arial"/>
          <w:sz w:val="22"/>
          <w:szCs w:val="22"/>
          <w:vertAlign w:val="baseline"/>
          <w:rtl w:val="0"/>
        </w:rPr>
        <w:t xml:space="preserve">Aprobar el siguiente Calendario Institucional para el 2002: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pPr>
      <w:r w:rsidDel="00000000" w:rsidR="00000000" w:rsidRPr="00000000">
        <w:rPr>
          <w:rFonts w:ascii="Arial" w:cs="Arial" w:eastAsia="Arial" w:hAnsi="Arial"/>
          <w:b w:val="1"/>
          <w:sz w:val="22"/>
          <w:szCs w:val="22"/>
          <w:vertAlign w:val="baseline"/>
          <w:rtl w:val="0"/>
        </w:rPr>
        <w:t xml:space="preserve">I  Períodos Lectivos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7938.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2410"/>
        <w:gridCol w:w="2268"/>
        <w:tblGridChange w:id="0">
          <w:tblGrid>
            <w:gridCol w:w="3260"/>
            <w:gridCol w:w="2410"/>
            <w:gridCol w:w="226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Período lectivo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Inicio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Fin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 Semestre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04 de febrero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31 de mayo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II Semestre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22 de julio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Cursos Intensivos Verano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 Cuatrimestre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21 de enero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19 de abril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II Cuatrimestre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13 de mayo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16 de agosto</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2203, Artículo 2, del 9 de noviembre del 2001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7938.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2410"/>
        <w:gridCol w:w="2268"/>
        <w:tblGridChange w:id="0">
          <w:tblGrid>
            <w:gridCol w:w="3260"/>
            <w:gridCol w:w="2410"/>
            <w:gridCol w:w="2268"/>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III Cuatrimestre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 Bimestre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18 de enero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23 de febrero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II Bimestre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01 de marzo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06 de abril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III Bimestre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19 de abril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25 de mayo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IV Bimestre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07 de junio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13 de julio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V Bimestre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26 de julio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31 de agosto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VI Bimestre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VII Bimestre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PENDIENTE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pPr>
      <w:r w:rsidDel="00000000" w:rsidR="00000000" w:rsidRPr="00000000">
        <w:rPr>
          <w:rFonts w:ascii="Arial" w:cs="Arial" w:eastAsia="Arial" w:hAnsi="Arial"/>
          <w:b w:val="1"/>
          <w:sz w:val="22"/>
          <w:szCs w:val="22"/>
          <w:vertAlign w:val="baseline"/>
          <w:rtl w:val="0"/>
        </w:rPr>
        <w:t xml:space="preserve">II  Graduaciones Ordinarias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7938.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2410"/>
        <w:gridCol w:w="2268"/>
        <w:tblGridChange w:id="0">
          <w:tblGrid>
            <w:gridCol w:w="3260"/>
            <w:gridCol w:w="2410"/>
            <w:gridCol w:w="226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SEDE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I SEMESTRE 2002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II SEMESTRE 2002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Sede de 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21 febrero 2002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05 setiembre 2002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Sede San Carlos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25 abril 2002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24 octubre 2002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pPr>
      <w:r w:rsidDel="00000000" w:rsidR="00000000" w:rsidRPr="00000000">
        <w:rPr>
          <w:rFonts w:ascii="Arial" w:cs="Arial" w:eastAsia="Arial" w:hAnsi="Arial"/>
          <w:b w:val="1"/>
          <w:sz w:val="22"/>
          <w:szCs w:val="22"/>
          <w:vertAlign w:val="baseline"/>
          <w:rtl w:val="0"/>
        </w:rPr>
        <w:t xml:space="preserve">III  Vacaciones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7938.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0"/>
        <w:gridCol w:w="3828"/>
        <w:tblGridChange w:id="0">
          <w:tblGrid>
            <w:gridCol w:w="4110"/>
            <w:gridCol w:w="3828"/>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VACACIONES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I-II SEMESTRE 2002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Vacaciones (Semana Santa)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25 al 29 de marzo 2002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Vacaciones Medio Período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01 al 12 de julio 2002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Vacaciones Fin y Principio de año 2002</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PENDIENTE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pPr>
      <w:r w:rsidDel="00000000" w:rsidR="00000000" w:rsidRPr="00000000">
        <w:rPr>
          <w:rFonts w:ascii="Arial" w:cs="Arial" w:eastAsia="Arial" w:hAnsi="Arial"/>
          <w:b w:val="1"/>
          <w:sz w:val="22"/>
          <w:szCs w:val="22"/>
          <w:vertAlign w:val="baseline"/>
          <w:rtl w:val="0"/>
        </w:rPr>
        <w:t xml:space="preserve">IV  Días de Asueto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Martes 01 de enero</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Jueves 11 de abril</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Miércoles 01 de mayo</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Jueves 25 de julio</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Viernes 02 de agosto</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Jueves 15 de agosto</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Domingo 15 de setiembre</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Sábado 12 de octubre</w:t>
      </w:r>
      <w:r w:rsidDel="00000000" w:rsidR="00000000" w:rsidRPr="00000000">
        <w:rPr>
          <w:rtl w:val="0"/>
        </w:rPr>
      </w:r>
    </w:p>
    <w:p w:rsidR="00000000" w:rsidDel="00000000" w:rsidP="00000000" w:rsidRDefault="00000000" w:rsidRPr="00000000">
      <w:pPr>
        <w:tabs>
          <w:tab w:val="left" w:pos="3756"/>
          <w:tab w:val="left" w:pos="6166"/>
        </w:tabs>
        <w:ind w:left="496" w:firstLine="0"/>
        <w:contextualSpacing w:val="0"/>
      </w:pPr>
      <w:r w:rsidDel="00000000" w:rsidR="00000000" w:rsidRPr="00000000">
        <w:rPr>
          <w:rFonts w:ascii="Arial" w:cs="Arial" w:eastAsia="Arial" w:hAnsi="Arial"/>
          <w:sz w:val="22"/>
          <w:szCs w:val="22"/>
          <w:vertAlign w:val="baseline"/>
          <w:rtl w:val="0"/>
        </w:rPr>
        <w:t xml:space="preserve">Miércoles 25 de diciembre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2203, Artículo 2, del 9 de noviembre del 2001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pPr>
      <w:r w:rsidDel="00000000" w:rsidR="00000000" w:rsidRPr="00000000">
        <w:rPr>
          <w:rFonts w:ascii="Arial" w:cs="Arial" w:eastAsia="Arial" w:hAnsi="Arial"/>
          <w:b w:val="1"/>
          <w:sz w:val="22"/>
          <w:szCs w:val="22"/>
          <w:vertAlign w:val="baseline"/>
          <w:rtl w:val="0"/>
        </w:rPr>
        <w:t xml:space="preserve">V  Congresos</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Seminarios y Cursos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7938.0" w:type="dxa"/>
        <w:jc w:val="left"/>
        <w:tblInd w:w="426.0" w:type="dxa"/>
        <w:tblLayout w:type="fixed"/>
        <w:tblLook w:val="0000"/>
      </w:tblPr>
      <w:tblGrid>
        <w:gridCol w:w="3402"/>
        <w:gridCol w:w="4536"/>
        <w:tblGridChange w:id="0">
          <w:tblGrid>
            <w:gridCol w:w="3402"/>
            <w:gridCol w:w="4536"/>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Encuentro de Matemática Aplicada a la Computación</w:t>
            </w:r>
            <w:r w:rsidDel="00000000" w:rsidR="00000000" w:rsidRPr="00000000">
              <w:rPr>
                <w:rtl w:val="0"/>
              </w:rPr>
            </w:r>
          </w:p>
        </w:tc>
        <w:tc>
          <w:tcPr/>
          <w:p w:rsidR="00000000" w:rsidDel="00000000" w:rsidP="00000000" w:rsidRDefault="00000000" w:rsidRPr="00000000">
            <w:pPr>
              <w:ind w:left="355" w:firstLine="0"/>
              <w:contextualSpacing w:val="0"/>
              <w:jc w:val="both"/>
            </w:pPr>
            <w:r w:rsidDel="00000000" w:rsidR="00000000" w:rsidRPr="00000000">
              <w:rPr>
                <w:rFonts w:ascii="Arial" w:cs="Arial" w:eastAsia="Arial" w:hAnsi="Arial"/>
                <w:sz w:val="22"/>
                <w:szCs w:val="22"/>
                <w:vertAlign w:val="baseline"/>
                <w:rtl w:val="0"/>
              </w:rPr>
              <w:t xml:space="preserve">15 al 19 de julio 2002</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Congreso Institucional</w:t>
            </w:r>
            <w:r w:rsidDel="00000000" w:rsidR="00000000" w:rsidRPr="00000000">
              <w:rPr>
                <w:rtl w:val="0"/>
              </w:rPr>
            </w:r>
          </w:p>
        </w:tc>
        <w:tc>
          <w:tcPr/>
          <w:p w:rsidR="00000000" w:rsidDel="00000000" w:rsidP="00000000" w:rsidRDefault="00000000" w:rsidRPr="00000000">
            <w:pPr>
              <w:ind w:left="355" w:firstLine="0"/>
              <w:contextualSpacing w:val="0"/>
              <w:jc w:val="both"/>
            </w:pPr>
            <w:r w:rsidDel="00000000" w:rsidR="00000000" w:rsidRPr="00000000">
              <w:rPr>
                <w:rFonts w:ascii="Arial" w:cs="Arial" w:eastAsia="Arial" w:hAnsi="Arial"/>
                <w:sz w:val="22"/>
                <w:szCs w:val="22"/>
                <w:vertAlign w:val="baseline"/>
                <w:rtl w:val="0"/>
              </w:rPr>
              <w:t xml:space="preserve">16 al 20 de setiembre 2002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Regionalización Sede San Carlos</w:t>
            </w:r>
            <w:r w:rsidDel="00000000" w:rsidR="00000000" w:rsidRPr="00000000">
              <w:rPr>
                <w:rtl w:val="0"/>
              </w:rPr>
            </w:r>
          </w:p>
        </w:tc>
        <w:tc>
          <w:tcPr/>
          <w:p w:rsidR="00000000" w:rsidDel="00000000" w:rsidP="00000000" w:rsidRDefault="00000000" w:rsidRPr="00000000">
            <w:pPr>
              <w:ind w:left="355" w:firstLine="0"/>
              <w:contextualSpacing w:val="0"/>
              <w:jc w:val="both"/>
            </w:pPr>
            <w:r w:rsidDel="00000000" w:rsidR="00000000" w:rsidRPr="00000000">
              <w:rPr>
                <w:rFonts w:ascii="Arial" w:cs="Arial" w:eastAsia="Arial" w:hAnsi="Arial"/>
                <w:sz w:val="22"/>
                <w:szCs w:val="22"/>
                <w:vertAlign w:val="baseline"/>
                <w:rtl w:val="0"/>
              </w:rPr>
              <w:t xml:space="preserve">A definir</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Seminario de Actualización en Ganadería de Carne</w:t>
            </w:r>
            <w:r w:rsidDel="00000000" w:rsidR="00000000" w:rsidRPr="00000000">
              <w:rPr>
                <w:rtl w:val="0"/>
              </w:rPr>
            </w:r>
          </w:p>
        </w:tc>
        <w:tc>
          <w:tcPr/>
          <w:p w:rsidR="00000000" w:rsidDel="00000000" w:rsidP="00000000" w:rsidRDefault="00000000" w:rsidRPr="00000000">
            <w:pPr>
              <w:ind w:left="355" w:firstLine="0"/>
              <w:contextualSpacing w:val="0"/>
              <w:jc w:val="both"/>
            </w:pPr>
            <w:r w:rsidDel="00000000" w:rsidR="00000000" w:rsidRPr="00000000">
              <w:rPr>
                <w:rFonts w:ascii="Arial" w:cs="Arial" w:eastAsia="Arial" w:hAnsi="Arial"/>
                <w:sz w:val="22"/>
                <w:szCs w:val="22"/>
                <w:vertAlign w:val="baseline"/>
                <w:rtl w:val="0"/>
              </w:rPr>
              <w:t xml:space="preserve">A definir</w:t>
            </w:r>
            <w:r w:rsidDel="00000000" w:rsidR="00000000" w:rsidRPr="00000000">
              <w:rPr>
                <w:rtl w:val="0"/>
              </w:rPr>
            </w:r>
          </w:p>
          <w:p w:rsidR="00000000" w:rsidDel="00000000" w:rsidP="00000000" w:rsidRDefault="00000000" w:rsidRPr="00000000">
            <w:pPr>
              <w:ind w:left="355" w:firstLine="0"/>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Curso Cultivo del Plátano</w:t>
            </w:r>
            <w:r w:rsidDel="00000000" w:rsidR="00000000" w:rsidRPr="00000000">
              <w:rPr>
                <w:rtl w:val="0"/>
              </w:rPr>
            </w:r>
          </w:p>
        </w:tc>
        <w:tc>
          <w:tcPr/>
          <w:p w:rsidR="00000000" w:rsidDel="00000000" w:rsidP="00000000" w:rsidRDefault="00000000" w:rsidRPr="00000000">
            <w:pPr>
              <w:ind w:left="355" w:firstLine="0"/>
              <w:contextualSpacing w:val="0"/>
              <w:jc w:val="both"/>
            </w:pPr>
            <w:r w:rsidDel="00000000" w:rsidR="00000000" w:rsidRPr="00000000">
              <w:rPr>
                <w:rFonts w:ascii="Arial" w:cs="Arial" w:eastAsia="Arial" w:hAnsi="Arial"/>
                <w:sz w:val="22"/>
                <w:szCs w:val="22"/>
                <w:vertAlign w:val="baseline"/>
                <w:rtl w:val="0"/>
              </w:rPr>
              <w:t xml:space="preserve">A definir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426" w:firstLine="0"/>
        <w:contextualSpacing w:val="0"/>
      </w:pPr>
      <w:r w:rsidDel="00000000" w:rsidR="00000000" w:rsidRPr="00000000">
        <w:rPr>
          <w:rFonts w:ascii="Arial" w:cs="Arial" w:eastAsia="Arial" w:hAnsi="Arial"/>
          <w:b w:val="1"/>
          <w:sz w:val="22"/>
          <w:szCs w:val="22"/>
          <w:vertAlign w:val="baseline"/>
          <w:rtl w:val="0"/>
        </w:rPr>
        <w:t xml:space="preserve">VI  Ferias Institucionales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8221.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2409"/>
        <w:gridCol w:w="2410"/>
        <w:tblGridChange w:id="0">
          <w:tblGrid>
            <w:gridCol w:w="3402"/>
            <w:gridCol w:w="2409"/>
            <w:gridCol w:w="241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FERIAS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I SEMESTRE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II SEMESTRE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Feria de la Salud Cartago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16 al 24 mayo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Feria de la Salud San Carlos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06 al 09 agosto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Feria Universitaria San Carlos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 definir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Expotec 2002</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 definir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Día del Deporte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 definir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VI Clásica Atlética 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 definir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Festival de Tierra y Cosecha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 definir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Semana Cívica Folclórica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9 al 15 setiembre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Festival Artístico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18 febrero al 10 de mayo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05 agosto al 31 octubre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Conmemoración Aniversario Tec</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10 al 14 de junio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Semana Ambiental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03 al 07 de junio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ab/>
        <w:t xml:space="preserve">Publicar.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8"/>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AFITEC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Comunidad Institucional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SCI-464-2001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9 de noviembre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9"/>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2203, Artículo 3, del 9 de noviembre del 2001.   Evaluación del Plan Anual Operativo al 30 de junio del 2001</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En Sesión No. 2198, del 15 de octubre del 2001, el Consejo Institucional, recibió en Memorando R-426-01, del Ing. Alejandro Cruz Molina, Rector, donde remite la Evaluación del Plan Anual Operativo al 30 de junio del 2001, para su análisis respectivo.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En Sesión No. 2199, del 22 de octubre del 2001, se presentó los resultados generales de la Evaluación del Plan Anual Operativo al 30 de junio del 2001 y después de un amplio análisis del tema, el Consejo Institucional solicitó incorporar a dicho documento un Resumen Ejecutivo por programa de esta evaluación.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En Sesión No. 2203, del 9 de noviembre del 2001, el Consejo de Rectoría, presentó el Resumen Ejecutivo de la Evaluación del Plan Anual Operativo al 30 de junio del 2001.</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Se recibió dictamen de la Auditoría Interna en oficio AU-261-2001, del 1 de noviembre del 2001, en el cual se consignan observaciones generales al documento.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La Evaluación del Plan Anual Operativo al 30 de junio del 2001, fue presentada al Consejo Institucional en forma extemporánea.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Dar por conocido el Informe sobre la Evaluación del Plan Anual Operativo al 30 de junio del 2001, según el detalle presentado por la Rectoría.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2203, Artículo 3, del 9 de noviembre del 2001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Recordar a la Administración que debe cumplir con los plazos formalmente establecidos para la presentación de este tipo de documentos y todos aquellos informes sucesivos que deben ser presentados ante la Contraloría General de la República.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Comunicar.  </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10"/>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SCI-465-2001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9 de noviembre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2203, Artículo 6, del 9 de noviembre del 2001.  Derogatoria del inciso d, del acuerdo de la Sesión No. </w:t>
            </w:r>
            <w:r w:rsidDel="00000000" w:rsidR="00000000" w:rsidRPr="00000000">
              <w:rPr>
                <w:rFonts w:ascii="Arial" w:cs="Arial" w:eastAsia="Arial" w:hAnsi="Arial"/>
                <w:b w:val="1"/>
                <w:color w:val="000000"/>
                <w:sz w:val="20"/>
                <w:szCs w:val="20"/>
                <w:vertAlign w:val="baseline"/>
                <w:rtl w:val="0"/>
              </w:rPr>
              <w:t xml:space="preserve">1538</w:t>
            </w:r>
            <w:r w:rsidDel="00000000" w:rsidR="00000000" w:rsidRPr="00000000">
              <w:rPr>
                <w:rFonts w:ascii="Arial" w:cs="Arial" w:eastAsia="Arial" w:hAnsi="Arial"/>
                <w:b w:val="1"/>
                <w:sz w:val="20"/>
                <w:szCs w:val="20"/>
                <w:vertAlign w:val="baseline"/>
                <w:rtl w:val="0"/>
              </w:rPr>
              <w:t xml:space="preserve">, Artículo 10, del 17 de mayo de 1990, referente a la </w:t>
            </w:r>
            <w:r w:rsidDel="00000000" w:rsidR="00000000" w:rsidRPr="00000000">
              <w:rPr>
                <w:rFonts w:ascii="Arial" w:cs="Arial" w:eastAsia="Arial" w:hAnsi="Arial"/>
                <w:b w:val="1"/>
                <w:color w:val="000000"/>
                <w:sz w:val="20"/>
                <w:szCs w:val="20"/>
                <w:vertAlign w:val="baseline"/>
                <w:rtl w:val="0"/>
              </w:rPr>
              <w:t xml:space="preserve">Ratificación de Creación de Unidades en Departamentos</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283" w:right="49"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1949, del 6 de agosto de 1997, en su Artículo 7, encomendó conformar una Comisión para que analizara la problemática presentada sobre la existencia de diferencias en cuanto al reconocimiento que se paga sobre ciertas coordinaciones sobre todo en los Centros de Investigación.</w:t>
      </w:r>
      <w:r w:rsidDel="00000000" w:rsidR="00000000" w:rsidRPr="00000000">
        <w:rPr>
          <w:rtl w:val="0"/>
        </w:rPr>
      </w:r>
    </w:p>
    <w:p w:rsidR="00000000" w:rsidDel="00000000" w:rsidP="00000000" w:rsidRDefault="00000000" w:rsidRPr="00000000">
      <w:pPr>
        <w:ind w:left="284" w:right="49" w:firstLine="60"/>
        <w:contextualSpacing w:val="0"/>
        <w:jc w:val="both"/>
      </w:pPr>
      <w:r w:rsidDel="00000000" w:rsidR="00000000" w:rsidRPr="00000000">
        <w:rPr>
          <w:rtl w:val="0"/>
        </w:rPr>
      </w:r>
    </w:p>
    <w:p w:rsidR="00000000" w:rsidDel="00000000" w:rsidP="00000000" w:rsidRDefault="00000000" w:rsidRPr="00000000">
      <w:pPr>
        <w:numPr>
          <w:ilvl w:val="0"/>
          <w:numId w:val="3"/>
        </w:numPr>
        <w:ind w:left="283" w:right="49"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análisis que posteriormente realiza la Comisión encargada de tal labor, se demuestra que la situación de los reconocimientos no era exclusiva de los Centros de Investigación y que la misma se presentaba en muchas áreas de la estructura formal institucional.</w:t>
      </w:r>
      <w:r w:rsidDel="00000000" w:rsidR="00000000" w:rsidRPr="00000000">
        <w:rPr>
          <w:rtl w:val="0"/>
        </w:rPr>
      </w:r>
    </w:p>
    <w:p w:rsidR="00000000" w:rsidDel="00000000" w:rsidP="00000000" w:rsidRDefault="00000000" w:rsidRPr="00000000">
      <w:pPr>
        <w:ind w:left="284" w:right="49" w:firstLine="60"/>
        <w:contextualSpacing w:val="0"/>
        <w:jc w:val="both"/>
      </w:pPr>
      <w:r w:rsidDel="00000000" w:rsidR="00000000" w:rsidRPr="00000000">
        <w:rPr>
          <w:rtl w:val="0"/>
        </w:rPr>
      </w:r>
    </w:p>
    <w:p w:rsidR="00000000" w:rsidDel="00000000" w:rsidP="00000000" w:rsidRDefault="00000000" w:rsidRPr="00000000">
      <w:pPr>
        <w:numPr>
          <w:ilvl w:val="0"/>
          <w:numId w:val="3"/>
        </w:numPr>
        <w:ind w:left="283" w:right="49"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decide enviar la Propuesta de Reglamento al Consejo Institucional (OPI 98-2001) y señala que el acuerdo tomado en Sesión No. 1538, Artículo. 9, del 17 de mayo de 1999, atenta contra principios tanto de la buena administración, como de la justa distribución de responsabilidades así como del principio “a igual trabajo igual remuneración” y que además, este inciso ha venido fomentando el desorden organizacional y la desmotivación por el trabajo en la Institución.  Dicho acuerdo dice:</w:t>
      </w:r>
      <w:r w:rsidDel="00000000" w:rsidR="00000000" w:rsidRPr="00000000">
        <w:rPr>
          <w:rtl w:val="0"/>
        </w:rPr>
      </w:r>
    </w:p>
    <w:p w:rsidR="00000000" w:rsidDel="00000000" w:rsidP="00000000" w:rsidRDefault="00000000" w:rsidRPr="00000000">
      <w:pPr>
        <w:ind w:left="284" w:right="49" w:firstLine="60"/>
        <w:contextualSpacing w:val="0"/>
        <w:jc w:val="both"/>
      </w:pPr>
      <w:r w:rsidDel="00000000" w:rsidR="00000000" w:rsidRPr="00000000">
        <w:rPr>
          <w:rtl w:val="0"/>
        </w:rPr>
      </w:r>
    </w:p>
    <w:p w:rsidR="00000000" w:rsidDel="00000000" w:rsidP="00000000" w:rsidRDefault="00000000" w:rsidRPr="00000000">
      <w:pPr>
        <w:tabs>
          <w:tab w:val="left" w:pos="8280"/>
        </w:tabs>
        <w:ind w:left="540" w:right="558" w:firstLine="0"/>
        <w:contextualSpacing w:val="0"/>
        <w:jc w:val="both"/>
      </w:pPr>
      <w:r w:rsidDel="00000000" w:rsidR="00000000" w:rsidRPr="00000000">
        <w:rPr>
          <w:rFonts w:ascii="Arial" w:cs="Arial" w:eastAsia="Arial" w:hAnsi="Arial"/>
          <w:sz w:val="22"/>
          <w:szCs w:val="22"/>
          <w:vertAlign w:val="baseline"/>
          <w:rtl w:val="0"/>
        </w:rPr>
        <w:t xml:space="preserve">“Avalar la realización del estudio propuesto por el Comité para la Creación de Unidades sobre la posibilidad de incluir ciertas coordinaciones que se han venido pagando y que no calificaron como unidades así como la posibilidad de reconocer un porcentaje sobre la base salarial para algunas coordinaciones que por su responsabilidad y complejidad son necesarias para el funcionamiento del Departamento y que no requieren de la creación de una unidad intermedia.”</w:t>
      </w:r>
      <w:r w:rsidDel="00000000" w:rsidR="00000000" w:rsidRPr="00000000">
        <w:rPr>
          <w:rtl w:val="0"/>
        </w:rPr>
      </w:r>
    </w:p>
    <w:p w:rsidR="00000000" w:rsidDel="00000000" w:rsidP="00000000" w:rsidRDefault="00000000" w:rsidRPr="00000000">
      <w:pPr>
        <w:ind w:left="284" w:right="49" w:firstLine="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2203, Artículo 6, del 9 de noviembre del 2001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numPr>
          <w:ilvl w:val="0"/>
          <w:numId w:val="3"/>
        </w:numPr>
        <w:ind w:left="283" w:right="49"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considera importante derogar el inciso indicado de la Sesión No. 1538 recomendado por la Comisión de Análisis ya que no existe el estudio ni tampoco el responsable para su ejecución por lo que se promueve la incorporación de unidades en las Escuelas y Departamentos, sin los correspondientes requisitos exigidos por Estatuto y Reglamento. </w:t>
      </w:r>
      <w:r w:rsidDel="00000000" w:rsidR="00000000" w:rsidRPr="00000000">
        <w:rPr>
          <w:rtl w:val="0"/>
        </w:rPr>
      </w:r>
    </w:p>
    <w:p w:rsidR="00000000" w:rsidDel="00000000" w:rsidP="00000000" w:rsidRDefault="00000000" w:rsidRPr="00000000">
      <w:pPr>
        <w:ind w:left="374" w:right="49" w:firstLine="0"/>
        <w:contextualSpacing w:val="0"/>
        <w:jc w:val="both"/>
      </w:pPr>
      <w:r w:rsidDel="00000000" w:rsidR="00000000" w:rsidRPr="00000000">
        <w:rPr>
          <w:rtl w:val="0"/>
        </w:rPr>
      </w:r>
    </w:p>
    <w:p w:rsidR="00000000" w:rsidDel="00000000" w:rsidP="00000000" w:rsidRDefault="00000000" w:rsidRPr="00000000">
      <w:pPr>
        <w:ind w:left="374" w:right="49" w:hanging="37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374" w:right="49" w:hanging="374"/>
        <w:contextualSpacing w:val="0"/>
        <w:jc w:val="both"/>
      </w:pPr>
      <w:r w:rsidDel="00000000" w:rsidR="00000000" w:rsidRPr="00000000">
        <w:rPr>
          <w:rtl w:val="0"/>
        </w:rPr>
      </w:r>
    </w:p>
    <w:p w:rsidR="00000000" w:rsidDel="00000000" w:rsidP="00000000" w:rsidRDefault="00000000" w:rsidRPr="00000000">
      <w:pPr>
        <w:numPr>
          <w:ilvl w:val="0"/>
          <w:numId w:val="2"/>
        </w:numPr>
        <w:ind w:left="374" w:right="49" w:hanging="37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Derogar el inciso d de la Sesión No. 1538, Artículo. 9 del 17 de mayo de 1999, que dice: </w:t>
      </w:r>
      <w:r w:rsidDel="00000000" w:rsidR="00000000" w:rsidRPr="00000000">
        <w:rPr>
          <w:rtl w:val="0"/>
        </w:rPr>
      </w:r>
    </w:p>
    <w:p w:rsidR="00000000" w:rsidDel="00000000" w:rsidP="00000000" w:rsidRDefault="00000000" w:rsidRPr="00000000">
      <w:pPr>
        <w:ind w:left="374" w:right="49" w:hanging="374"/>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right="558" w:firstLine="0"/>
        <w:contextualSpacing w:val="0"/>
        <w:jc w:val="both"/>
      </w:pPr>
      <w:r w:rsidDel="00000000" w:rsidR="00000000" w:rsidRPr="00000000">
        <w:rPr>
          <w:rFonts w:ascii="Arial" w:cs="Arial" w:eastAsia="Arial" w:hAnsi="Arial"/>
          <w:b w:val="0"/>
          <w:sz w:val="22"/>
          <w:szCs w:val="22"/>
          <w:vertAlign w:val="baseline"/>
          <w:rtl w:val="0"/>
        </w:rPr>
        <w:t xml:space="preserve">“Avalar la realización del estudio propuesto por el Comité para la Creación de Unidades sobre la posibilidad de incluir ciertas coordinaciones que se han venido pagando y que no calificaron como unidades así como la posibilidad de reconocer un porcentaje sobre la base salarial para algunas coordinaciones que por su responsabilidad y complejidad son necesarias para el funcionamiento del Departamento y que no requieren de la creación de una unidad intermedia”</w:t>
      </w:r>
    </w:p>
    <w:p w:rsidR="00000000" w:rsidDel="00000000" w:rsidP="00000000" w:rsidRDefault="00000000" w:rsidRPr="00000000">
      <w:pPr>
        <w:spacing w:after="0" w:before="0" w:line="240" w:lineRule="auto"/>
        <w:ind w:left="720" w:right="558" w:firstLine="0"/>
        <w:contextualSpacing w:val="0"/>
        <w:jc w:val="both"/>
      </w:pPr>
      <w:r w:rsidDel="00000000" w:rsidR="00000000" w:rsidRPr="00000000">
        <w:rPr>
          <w:rtl w:val="0"/>
        </w:rPr>
      </w:r>
    </w:p>
    <w:p w:rsidR="00000000" w:rsidDel="00000000" w:rsidP="00000000" w:rsidRDefault="00000000" w:rsidRPr="00000000">
      <w:pPr>
        <w:numPr>
          <w:ilvl w:val="0"/>
          <w:numId w:val="2"/>
        </w:numPr>
        <w:ind w:left="374" w:right="49" w:hanging="37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Comunicar.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1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widowControl w:val="0"/>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54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sz w:val="16"/>
        <w:szCs w:val="16"/>
        <w:vertAlign w:val="baseline"/>
        <w:rtl w:val="0"/>
      </w:rPr>
      <w:t xml:space="preserve">Fax 591-8452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40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65" w:firstLine="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283"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