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SCI-033-2002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8 de febrero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2216, Artículo 5, del 8 de febrero del 2002.   Auditoría Financiera Operativa 2002</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Ha sido una preocupación constante para este órgano, realizar auditorías que permitan orientar sus acciones.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Durante el año 2001, el Consejo Institucional solicitó a la Administración asignar recursos para iniciar la Auditoría Financiera y Operativa antes de finalizar el año.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el Colegio de Contadores Públicos de Costa Rica, “El proceso de contratación de auditoría es un trámite que requiere ser realizado con debida antelación.  Por otra parte, el auditor requiere realizar un plan de trabajo que involucre los estudios necesarios para conocer la entidad a auditar, su forma de operar, sistema de control, aspectos contables, realizar pruebas etc.” (Oficio CCP-DCP-009-02, del 14 de enero del 2002).</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Para el 2002 y siguientes, el Consejo Institucional está interesado en que las Auditorías Financiera y Operativa, inicien antes de finalizar el año por lo que los recursos respectivos deben estar presupuestados.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Solicitar a la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Gestionar de inmediato el contenido presupuestario para las Auditorías Financiera y Operativa del año 2002.</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2216, Artículo 5, del 8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left="360" w:hanging="426"/>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hanging="426"/>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Tomar las previsiones para que en el Presupuesto de cada año se incluya el monto necesario para la Auditoría Financiera y Operativa de ese año.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Realizar las gestiones para que el proceso de contratación de las Auditorías Financiera y Operativa, se inicie a más tardar el 1º de julio de cada año, de tal forma que esté adjudicado a más tardar el 1 de noviembre de ese año.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54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Fax 591-8452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