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SCI-031-2002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8 de febrero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Licda Vilma Gamboa B., Gerente de Área, Gerencia de Servicios de Educación, Culturales y Deportivos, División de Fiscalización Operativa y Evaluativa, Área Servicios de Educación, Culturales y Deportivos,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2216, Artículo 3, del 8 de febrero del 2002.   Informe de la Contraloría General de la República sobre los resultados del Estudio del Presupuesto Ordinario 2002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día 23 de enero del 2002, el Consejo Institucional recibió de la Administración el oficio 14880, de fecha 14-12-01 suscrito por la Licda. Vilma Gamboa Bolaños, Gerente de Área de la Contraloría General de la República, donde remite “Informe sobre los resultados del estudio del Presupuesto Ordinario del Instituto Tecnológico de Costa Rica para el año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las disposiciones de dicho Informe se señala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vertAlign w:val="baseline"/>
          <w:rtl w:val="0"/>
        </w:rPr>
        <w:t xml:space="preserve">“4.1.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068" w:hanging="36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Remitir, en un plazo no mayor a los 15 días hábiles, posteriores a la fecha de recibido de este informe, copia del acuerdo que tome ese órgano colegiado en relación con lo señalado en este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22 de enero del 2002, el Consejo Institucional recibe copia del Oficio R-015-2002 del 18 de enero del 2002, del señor Rector Alejandro Cruz, donde envía a la Contraloría General de la República, la respuesta a las observaciones al Presupuesto Ordinario y al Plan Anual Operativo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analizó la documentación y señalamientos de la Contraloría General de la República.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2216, Artículo 3, del 8 de febrero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acatar las siguientes medidas: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283"/>
        <w:jc w:val="both"/>
        <w:rPr>
          <w:b w:val="0"/>
          <w:sz w:val="22"/>
          <w:szCs w:val="22"/>
        </w:rPr>
      </w:pPr>
      <w:r w:rsidDel="00000000" w:rsidR="00000000" w:rsidRPr="00000000">
        <w:rPr>
          <w:rFonts w:ascii="Arial" w:cs="Arial" w:eastAsia="Arial" w:hAnsi="Arial"/>
          <w:sz w:val="22"/>
          <w:szCs w:val="22"/>
          <w:vertAlign w:val="baseline"/>
          <w:rtl w:val="0"/>
        </w:rPr>
        <w:t xml:space="preserve">Toda documentación referida al Consejo Institucional debe enviarse por medio de la Secretaría del Consejo Institucional.</w:t>
      </w:r>
      <w:r w:rsidDel="00000000" w:rsidR="00000000" w:rsidRPr="00000000">
        <w:rPr>
          <w:rtl w:val="0"/>
        </w:rPr>
      </w:r>
    </w:p>
    <w:p w:rsidR="00000000" w:rsidDel="00000000" w:rsidP="00000000" w:rsidRDefault="00000000" w:rsidRPr="00000000">
      <w:pPr>
        <w:numPr>
          <w:ilvl w:val="0"/>
          <w:numId w:val="4"/>
        </w:numPr>
        <w:ind w:left="720" w:hanging="283"/>
        <w:jc w:val="both"/>
        <w:rPr>
          <w:b w:val="0"/>
          <w:sz w:val="22"/>
          <w:szCs w:val="22"/>
        </w:rPr>
      </w:pPr>
      <w:r w:rsidDel="00000000" w:rsidR="00000000" w:rsidRPr="00000000">
        <w:rPr>
          <w:rFonts w:ascii="Arial" w:cs="Arial" w:eastAsia="Arial" w:hAnsi="Arial"/>
          <w:sz w:val="22"/>
          <w:szCs w:val="22"/>
          <w:vertAlign w:val="baseline"/>
          <w:rtl w:val="0"/>
        </w:rPr>
        <w:t xml:space="preserve">Atender el inciso 2.1.d) de la Sección de Ingresos, específicamente, Venta de Bienes y Servicios.</w:t>
      </w:r>
      <w:r w:rsidDel="00000000" w:rsidR="00000000" w:rsidRPr="00000000">
        <w:rPr>
          <w:rtl w:val="0"/>
        </w:rPr>
      </w:r>
    </w:p>
    <w:p w:rsidR="00000000" w:rsidDel="00000000" w:rsidP="00000000" w:rsidRDefault="00000000" w:rsidRPr="00000000">
      <w:pPr>
        <w:numPr>
          <w:ilvl w:val="0"/>
          <w:numId w:val="4"/>
        </w:numPr>
        <w:ind w:left="720" w:hanging="283"/>
        <w:jc w:val="both"/>
        <w:rPr>
          <w:b w:val="0"/>
          <w:sz w:val="22"/>
          <w:szCs w:val="22"/>
        </w:rPr>
      </w:pPr>
      <w:r w:rsidDel="00000000" w:rsidR="00000000" w:rsidRPr="00000000">
        <w:rPr>
          <w:rFonts w:ascii="Arial" w:cs="Arial" w:eastAsia="Arial" w:hAnsi="Arial"/>
          <w:sz w:val="22"/>
          <w:szCs w:val="22"/>
          <w:vertAlign w:val="baseline"/>
          <w:rtl w:val="0"/>
        </w:rPr>
        <w:t xml:space="preserve">Atender el Artículo 9 de la Ley No. 6750, referente a la asignación de un porcentaje, de la suma presupuestada en “Construcciones, Adiciones y Mejoras, para la adquisición de obras de arte.</w:t>
      </w:r>
      <w:r w:rsidDel="00000000" w:rsidR="00000000" w:rsidRPr="00000000">
        <w:rPr>
          <w:rtl w:val="0"/>
        </w:rPr>
      </w:r>
    </w:p>
    <w:p w:rsidR="00000000" w:rsidDel="00000000" w:rsidP="00000000" w:rsidRDefault="00000000" w:rsidRPr="00000000">
      <w:pPr>
        <w:numPr>
          <w:ilvl w:val="0"/>
          <w:numId w:val="4"/>
        </w:numPr>
        <w:ind w:left="720" w:hanging="283"/>
        <w:jc w:val="both"/>
        <w:rPr>
          <w:b w:val="0"/>
          <w:sz w:val="22"/>
          <w:szCs w:val="22"/>
        </w:rPr>
      </w:pPr>
      <w:r w:rsidDel="00000000" w:rsidR="00000000" w:rsidRPr="00000000">
        <w:rPr>
          <w:rFonts w:ascii="Arial" w:cs="Arial" w:eastAsia="Arial" w:hAnsi="Arial"/>
          <w:sz w:val="22"/>
          <w:szCs w:val="22"/>
          <w:vertAlign w:val="baseline"/>
          <w:rtl w:val="0"/>
        </w:rPr>
        <w:t xml:space="preserve">Atender los otros señalamientos del Órgano Contralor.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conocida la respuesta del señor Rector Alejandro Cruz Molina, a la Contraloría General de la República, dando respuesta al Oficio 14880 del 14 de diciembre del 2001, mediante oficio R-013-2002, del 18 de enero del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en todas sus partes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68" w:firstLine="708"/>
      </w:pPr>
      <w:rPr>
        <w:vertAlign w:val="baseline"/>
      </w:rPr>
    </w:lvl>
    <w:lvl w:ilvl="1">
      <w:start w:val="3"/>
      <w:numFmt w:val="decimal"/>
      <w:lvlText w:val="%2."/>
      <w:lvlJc w:val="left"/>
      <w:pPr>
        <w:ind w:left="1788" w:firstLine="1428"/>
      </w:pPr>
      <w:rPr>
        <w:b w:val="1"/>
        <w:i w:val="0"/>
        <w:sz w:val="20"/>
        <w:szCs w:val="20"/>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lvl w:ilvl="0">
      <w:start w:val="1"/>
      <w:numFmt w:val="bullet"/>
      <w:lvlText w:val="−"/>
      <w:lvlJc w:val="left"/>
      <w:pPr>
        <w:ind w:left="283"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