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SCI-109-2002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 de marzo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Josefa Guzmán L., Vicerrectora de Docencia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Ricardo Aguilar D., Vicerrector de Investigación y Extensión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MAE. William Vives B., Vicerrector de Vida Estudiantil y Servicios Académicos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MAE. Bernal Martínez G., Director Sede Regional de San Carlos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Arq. Jorge Sancho V., Director del Centro Académico de San José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Bach. José Miguel Solano S., Director del 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Ruth Vílchez R., Directora del Departamento de Recursos Humanos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Licda. Josefa Guzmán L., Presidente ai.,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2221, Artículo 9, del 15 de marzo del 2002.   Doble Recargo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616" w:firstLine="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ha señalado su preocupación por el crecimiento en monto y transformación de la relación de puestos, sin que este aumento esté atendiendo las necesidades de la academia.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18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estableció una Comisión Ad-Hoc, para el control de la utilización de  las plazas, sin embargo, existen prácticas institucionales que en vez de racionalizar el gasto lo está incrementando; uno de estos casos, es la asignación del doble recargo.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18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de interés del Consejo Institucional que el personal del Instituto Tecnológico de Costa Rica, trabaje las horas que le permitan dar un aporte de calidad y además que goce de su tiempo de esparcimiento.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hanging="37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18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Que la  Administración no tramite ninguna solicitud de doble recargo si éste supera una jornada del 1,20 del tiempo completo de su jornada laboral.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Rige a partir de la comunicación del  acuerdo.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1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Estudios y Remuneraciones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Presupuesto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20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50" w:firstLine="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