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SCI-303-2002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14 de junio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Ana Ruth Vílchez R., Directora del Departamento de Recursos Humanos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2239, Artículo 11, del 14 de junio del 2002.   Apertura de un procedimiento administrativo para verificar la existencia de posibles responsabilidades en la actuación del MBA. William Vives B., en la venta de servicios de mantenimiento de información computarizada y procesos de matrícula a la FUNDATEC</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283" w:hanging="283"/>
        <w:rPr>
          <w:rFonts w:ascii="Arial" w:cs="Arial" w:eastAsia="Arial" w:hAnsi="Arial"/>
        </w:rPr>
      </w:pPr>
      <w:r w:rsidDel="00000000" w:rsidR="00000000" w:rsidRPr="00000000">
        <w:rPr>
          <w:rFonts w:ascii="Arial" w:cs="Arial" w:eastAsia="Arial" w:hAnsi="Arial"/>
          <w:sz w:val="22"/>
          <w:szCs w:val="22"/>
          <w:vertAlign w:val="baseline"/>
          <w:rtl w:val="0"/>
        </w:rPr>
        <w:t xml:space="preserve">En informe de la Auditoría Interna AU-257-2001, se señalan aspecto con respecto a los servicios que ofrece el Departamento de Admisión y Registro a la FUNDATEC.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283" w:hanging="283"/>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recibe informe de la Auditoría Interna AUDI-78-2002, con fecha del 13 de marzo del 2002, informando de la participación del Vicerrector de Vida Estudiantil y Servicios Académicos en los servicios a la FUNDATEC.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283" w:hanging="283"/>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recibe informe del Vicerrector MAE. William Vives, Vicerrector de Vida Estudiantil con respecto al Informe de Auditoría AU-257-2001 que señala entre otros aspectos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283" w:firstLine="0"/>
        <w:contextualSpacing w:val="0"/>
        <w:jc w:val="both"/>
      </w:pPr>
      <w:r w:rsidDel="00000000" w:rsidR="00000000" w:rsidRPr="00000000">
        <w:rPr>
          <w:rFonts w:ascii="Arial" w:cs="Arial" w:eastAsia="Arial" w:hAnsi="Arial"/>
          <w:b w:val="0"/>
          <w:sz w:val="22"/>
          <w:szCs w:val="22"/>
          <w:vertAlign w:val="baseline"/>
          <w:rtl w:val="0"/>
        </w:rPr>
        <w:t xml:space="preserve">“La Auditoría Interna hace un análisis y prepara un informe especial, el cual como he mostrado, presenta alguna información errónea, desprecia o no ubica información de mucho valor para comprender el tema tratado, expone argumentos que por su naturaleza se contradicen y presenta un panorama de la situación que no describe con justicia la realidad.  Esta situación, lamentable por cierto, permite a la Auditoría Interna instruir a las autoridades institucionales con conclusiones cuyo asidero esta basado en información en algunos casos errónea e incompleta.  A pesar de esto, la Auditoría Interna acierta al llamar la atención sobre la necesidad de que este tipo de servicios tenga un marco de referencia para ejecutarse y desde luego obtener las autorizaciones respectivas…”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2239, Artículo 11, del 14 de junio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283" w:hanging="283"/>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recibe informe de la Administración, Oficio R-108-2002 del 15 de marzo del 2002, donde señalan que:</w:t>
      </w:r>
      <w:r w:rsidDel="00000000" w:rsidR="00000000" w:rsidRPr="00000000">
        <w:rPr>
          <w:rtl w:val="0"/>
        </w:rPr>
      </w:r>
    </w:p>
    <w:p w:rsidR="00000000" w:rsidDel="00000000" w:rsidP="00000000" w:rsidRDefault="00000000" w:rsidRPr="00000000">
      <w:pPr>
        <w:spacing w:after="240" w:before="0" w:line="240" w:lineRule="auto"/>
        <w:ind w:left="360" w:firstLine="0"/>
        <w:contextualSpacing w:val="0"/>
        <w:jc w:val="both"/>
      </w:pPr>
      <w:r w:rsidDel="00000000" w:rsidR="00000000" w:rsidRPr="00000000">
        <w:rPr>
          <w:rFonts w:ascii="Arial" w:cs="Arial" w:eastAsia="Arial" w:hAnsi="Arial"/>
          <w:b w:val="0"/>
          <w:color w:val="000080"/>
          <w:sz w:val="22"/>
          <w:szCs w:val="22"/>
          <w:vertAlign w:val="baseline"/>
          <w:rtl w:val="0"/>
        </w:rPr>
        <w:t xml:space="preserve">... con fundamento en la recomendación de la Asesoría Legal, considerando la responsabilidad que, como funcionarios públicos, tenemos de rendir cuentas sobre nuestras actuaciones, con el objetivo de que el Sr. Vives cuente con el espacio para que formalmente pueda explicar los descargos que ha presentado, durante este proceso, ante la Auditoría Interna; y con el objetivo de que el proceso no conlleve visos de nulidad, la Rectoría se permite solicitar a la Auditoría Interna que concrete los cargos sobre los cuales solicita la apertura de expediente del señor M.B.A. William Vives, refiriendo sus actuaciones a las normas quebrantadas con las mismas.  De no contarse con lo solicitado, la apertura del procedimiento recomendado será respaldada por el oficio AUDI-78-2002, recibido por esta Rectoría el 13 de marzo del 2002.</w:t>
      </w:r>
    </w:p>
    <w:p w:rsidR="00000000" w:rsidDel="00000000" w:rsidP="00000000" w:rsidRDefault="00000000" w:rsidRPr="00000000">
      <w:pPr>
        <w:numPr>
          <w:ilvl w:val="0"/>
          <w:numId w:val="1"/>
        </w:numPr>
        <w:ind w:left="36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recibió la visita del MAE. William Vives para recoger su versión sobre los hechos, el día 22 de mayo a la 1:30 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Solicitar a la Rectoría informar, en un plazo de ocho días hábiles, al Consejo Institucional sobre las acciones realizadas referentes a la apertura de un procedimiento administrativo, para verificar la existencia de posibles responsabilidades en la actuación del MAE. William Vives Brenes, en la venta de servicios de mantenimiento de información computarizada y procesos de matrícula a la FUNDATEC.</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ind w:left="-180" w:firstLine="0"/>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 </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