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SCI-306-2002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14 de junio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Ronald Elizondo C., Director de la Oficina de Planificación Institucional y Coordinador de la Comisión Ad-hoc para la Relación de Puestos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Ana Ruth Vílchez R., Directora del Departamento de Recursos Humanos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MSc. Ileana Moreira G., Directora de la Escuela de Biología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Elizabeth Arnáez S., Coordinadora de la Carrera de Biotecnología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MSc. José Luis Espinoza B., Director de la Escuela de Matemática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Silvia Calderón L., Coordinadora de la Carrera de Enseñanza de la Matemática Asistida por Computadora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2239, Artículo 17, del 14 de junio del 2002.   Derogatoria del acuerdo de la Sesión No. 2204, Artículo 2 del 14 de noviembre del 2001, denominado “Derogatoria del inciso d, de acuerdo de la Sesión No. 1538, Artículo 10, del 17 de mayo de 1990, referente a la Ratificación de Creación de Unidades en Departamentos”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tabs>
          <w:tab w:val="right" w:pos="2410"/>
          <w:tab w:val="left" w:pos="2694"/>
        </w:tabs>
        <w:ind w:left="36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Es de interés del Consejo Institucional que toda Unidad haya sido creada bajo un procedimiento que garantice su necesidad y pertinencia.</w:t>
      </w:r>
      <w:r w:rsidDel="00000000" w:rsidR="00000000" w:rsidRPr="00000000">
        <w:rPr>
          <w:rtl w:val="0"/>
        </w:rPr>
      </w:r>
    </w:p>
    <w:p w:rsidR="00000000" w:rsidDel="00000000" w:rsidP="00000000" w:rsidRDefault="00000000" w:rsidRPr="00000000">
      <w:pPr>
        <w:tabs>
          <w:tab w:val="right" w:pos="2410"/>
          <w:tab w:val="left" w:pos="2694"/>
        </w:tabs>
        <w:ind w:left="623" w:right="51" w:firstLine="0"/>
        <w:contextualSpacing w:val="0"/>
        <w:jc w:val="both"/>
      </w:pPr>
      <w:r w:rsidDel="00000000" w:rsidR="00000000" w:rsidRPr="00000000">
        <w:rPr>
          <w:rtl w:val="0"/>
        </w:rPr>
      </w:r>
    </w:p>
    <w:p w:rsidR="00000000" w:rsidDel="00000000" w:rsidP="00000000" w:rsidRDefault="00000000" w:rsidRPr="00000000">
      <w:pPr>
        <w:numPr>
          <w:ilvl w:val="0"/>
          <w:numId w:val="4"/>
        </w:numPr>
        <w:tabs>
          <w:tab w:val="right" w:pos="2410"/>
          <w:tab w:val="left" w:pos="2694"/>
        </w:tabs>
        <w:ind w:left="36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en Sesión No. 2204, Artículo 2, del 14 de noviembre del 2001, acordó:  </w:t>
      </w:r>
      <w:r w:rsidDel="00000000" w:rsidR="00000000" w:rsidRPr="00000000">
        <w:rPr>
          <w:rtl w:val="0"/>
        </w:rPr>
      </w:r>
    </w:p>
    <w:p w:rsidR="00000000" w:rsidDel="00000000" w:rsidP="00000000" w:rsidRDefault="00000000" w:rsidRPr="00000000">
      <w:pPr>
        <w:tabs>
          <w:tab w:val="right" w:pos="2410"/>
          <w:tab w:val="left" w:pos="2694"/>
        </w:tabs>
        <w:ind w:right="51"/>
        <w:contextualSpacing w:val="0"/>
        <w:jc w:val="both"/>
      </w:pPr>
      <w:r w:rsidDel="00000000" w:rsidR="00000000" w:rsidRPr="00000000">
        <w:rPr>
          <w:rtl w:val="0"/>
        </w:rPr>
      </w:r>
    </w:p>
    <w:p w:rsidR="00000000" w:rsidDel="00000000" w:rsidP="00000000" w:rsidRDefault="00000000" w:rsidRPr="00000000">
      <w:pPr>
        <w:tabs>
          <w:tab w:val="left" w:pos="8280"/>
        </w:tabs>
        <w:ind w:left="900" w:right="558" w:hanging="540"/>
        <w:contextualSpacing w:val="0"/>
        <w:jc w:val="both"/>
      </w:pPr>
      <w:r w:rsidDel="00000000" w:rsidR="00000000" w:rsidRPr="00000000">
        <w:rPr>
          <w:rFonts w:ascii="Arial" w:cs="Arial" w:eastAsia="Arial" w:hAnsi="Arial"/>
          <w:b w:val="1"/>
          <w:sz w:val="20"/>
          <w:szCs w:val="20"/>
          <w:vertAlign w:val="baseline"/>
          <w:rtl w:val="0"/>
        </w:rPr>
        <w:t xml:space="preserve"> “a.</w:t>
      </w:r>
      <w:r w:rsidDel="00000000" w:rsidR="00000000" w:rsidRPr="00000000">
        <w:rPr>
          <w:rFonts w:ascii="Arial" w:cs="Arial" w:eastAsia="Arial" w:hAnsi="Arial"/>
          <w:sz w:val="20"/>
          <w:szCs w:val="20"/>
          <w:vertAlign w:val="baseline"/>
          <w:rtl w:val="0"/>
        </w:rPr>
        <w:tab/>
        <w:t xml:space="preserve">Derogar el inciso d del acuerdo tomado por el Consejo Institucional en la Sesión No. 1538, Artículo 10, del 17 de mayo de 1990, sobre Ratificación de Creación de Unidades en Departamentos que dice: </w:t>
      </w:r>
      <w:r w:rsidDel="00000000" w:rsidR="00000000" w:rsidRPr="00000000">
        <w:rPr>
          <w:rtl w:val="0"/>
        </w:rPr>
      </w:r>
    </w:p>
    <w:p w:rsidR="00000000" w:rsidDel="00000000" w:rsidP="00000000" w:rsidRDefault="00000000" w:rsidRPr="00000000">
      <w:pPr>
        <w:tabs>
          <w:tab w:val="left" w:pos="8280"/>
        </w:tabs>
        <w:spacing w:after="0" w:before="0" w:line="240" w:lineRule="auto"/>
        <w:ind w:left="900" w:right="558" w:hanging="360"/>
        <w:contextualSpacing w:val="0"/>
        <w:jc w:val="both"/>
      </w:pPr>
      <w:r w:rsidDel="00000000" w:rsidR="00000000" w:rsidRPr="00000000">
        <w:rPr>
          <w:rFonts w:ascii="Arial" w:cs="Arial" w:eastAsia="Arial" w:hAnsi="Arial"/>
          <w:b w:val="0"/>
          <w:sz w:val="20"/>
          <w:szCs w:val="20"/>
          <w:vertAlign w:val="baseline"/>
          <w:rtl w:val="0"/>
        </w:rPr>
        <w:tab/>
      </w:r>
    </w:p>
    <w:p w:rsidR="00000000" w:rsidDel="00000000" w:rsidP="00000000" w:rsidRDefault="00000000" w:rsidRPr="00000000">
      <w:pPr>
        <w:tabs>
          <w:tab w:val="left" w:pos="8280"/>
        </w:tabs>
        <w:spacing w:after="0" w:before="0" w:line="240" w:lineRule="auto"/>
        <w:ind w:left="900" w:right="558" w:hanging="360"/>
        <w:contextualSpacing w:val="0"/>
        <w:jc w:val="both"/>
      </w:pPr>
      <w:r w:rsidDel="00000000" w:rsidR="00000000" w:rsidRPr="00000000">
        <w:rPr>
          <w:rFonts w:ascii="Arial" w:cs="Arial" w:eastAsia="Arial" w:hAnsi="Arial"/>
          <w:b w:val="0"/>
          <w:sz w:val="20"/>
          <w:szCs w:val="20"/>
          <w:vertAlign w:val="baseline"/>
          <w:rtl w:val="0"/>
        </w:rPr>
        <w:tab/>
        <w:t xml:space="preserve">“Avalar la realización del estudio propuesto por el Comité para la Creación de Unidades, sobre la posibilidad de incluir ciertas coordinaciones que se han venido pagando y que no calificaron como unidades; así como la posibilidad de reconocer un porcentaje sobre la base salarial para algunas coordinaciones que por su responsabilidad y complejidad son necesarias para el funcionamiento del Departamento y que no requieren de la creación de una unidad intermedia.”</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2239, Artículo 17, del 14 de junio del 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tabs>
          <w:tab w:val="left" w:pos="8280"/>
        </w:tabs>
        <w:ind w:left="900" w:right="558" w:hanging="360"/>
        <w:contextualSpacing w:val="0"/>
        <w:jc w:val="both"/>
      </w:pPr>
      <w:r w:rsidDel="00000000" w:rsidR="00000000" w:rsidRPr="00000000">
        <w:rPr>
          <w:rtl w:val="0"/>
        </w:rPr>
      </w:r>
    </w:p>
    <w:p w:rsidR="00000000" w:rsidDel="00000000" w:rsidP="00000000" w:rsidRDefault="00000000" w:rsidRPr="00000000">
      <w:pPr>
        <w:tabs>
          <w:tab w:val="left" w:pos="8280"/>
        </w:tabs>
        <w:ind w:left="900" w:right="558" w:hanging="36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8280"/>
        </w:tabs>
        <w:ind w:left="900" w:right="558"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Que todas las Unidades creadas bajo este inciso d, tendrán que realizar el trámite para ser reconocidas como Unidades, a excepción de las Carreras de Biotecnología y  Enseñanza de la Matemática Asistida por Computadora.</w:t>
      </w:r>
      <w:r w:rsidDel="00000000" w:rsidR="00000000" w:rsidRPr="00000000">
        <w:rPr>
          <w:rtl w:val="0"/>
        </w:rPr>
      </w:r>
    </w:p>
    <w:p w:rsidR="00000000" w:rsidDel="00000000" w:rsidP="00000000" w:rsidRDefault="00000000" w:rsidRPr="00000000">
      <w:pPr>
        <w:tabs>
          <w:tab w:val="left" w:pos="8280"/>
        </w:tabs>
        <w:ind w:left="900" w:right="558" w:hanging="36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8280"/>
        </w:tabs>
        <w:ind w:left="900" w:right="558"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Respetar los nombramientos hechos en las unidades creadas bajo este inciso d, hasta su terminación.</w:t>
      </w:r>
      <w:r w:rsidDel="00000000" w:rsidR="00000000" w:rsidRPr="00000000">
        <w:rPr>
          <w:rtl w:val="0"/>
        </w:rPr>
      </w:r>
    </w:p>
    <w:p w:rsidR="00000000" w:rsidDel="00000000" w:rsidP="00000000" w:rsidRDefault="00000000" w:rsidRPr="00000000">
      <w:pPr>
        <w:tabs>
          <w:tab w:val="left" w:pos="8280"/>
        </w:tabs>
        <w:ind w:left="900" w:right="558" w:hanging="36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8280"/>
        </w:tabs>
        <w:ind w:left="900" w:right="558"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Comunicar.  </w:t>
      </w:r>
      <w:r w:rsidDel="00000000" w:rsidR="00000000" w:rsidRPr="00000000">
        <w:rPr>
          <w:rFonts w:ascii="Arial" w:cs="Arial" w:eastAsia="Arial" w:hAnsi="Arial"/>
          <w:b w:val="1"/>
          <w:sz w:val="20"/>
          <w:szCs w:val="20"/>
          <w:vertAlign w:val="baseline"/>
          <w:rtl w:val="0"/>
        </w:rPr>
        <w:t xml:space="preserve">ACUERDO FIRME”</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tabs>
          <w:tab w:val="right" w:pos="2410"/>
          <w:tab w:val="left" w:pos="2694"/>
        </w:tabs>
        <w:ind w:left="623" w:right="51" w:firstLine="0"/>
        <w:contextualSpacing w:val="0"/>
        <w:jc w:val="both"/>
      </w:pPr>
      <w:r w:rsidDel="00000000" w:rsidR="00000000" w:rsidRPr="00000000">
        <w:rPr>
          <w:rtl w:val="0"/>
        </w:rPr>
      </w:r>
    </w:p>
    <w:p w:rsidR="00000000" w:rsidDel="00000000" w:rsidP="00000000" w:rsidRDefault="00000000" w:rsidRPr="00000000">
      <w:pPr>
        <w:numPr>
          <w:ilvl w:val="0"/>
          <w:numId w:val="4"/>
        </w:numPr>
        <w:tabs>
          <w:tab w:val="right" w:pos="2410"/>
          <w:tab w:val="left" w:pos="2694"/>
        </w:tabs>
        <w:ind w:left="36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excepción señalada surgió del Consejo Institucional partiendo de que existe un acuerdo de este órgano para creación de las carreras, sin embargo, la apertura de una carrera no tiene implícito el reconocimiento como Departamento o Unidad.</w:t>
      </w:r>
      <w:r w:rsidDel="00000000" w:rsidR="00000000" w:rsidRPr="00000000">
        <w:rPr>
          <w:rtl w:val="0"/>
        </w:rPr>
      </w:r>
    </w:p>
    <w:p w:rsidR="00000000" w:rsidDel="00000000" w:rsidP="00000000" w:rsidRDefault="00000000" w:rsidRPr="00000000">
      <w:pPr>
        <w:tabs>
          <w:tab w:val="right" w:pos="2410"/>
          <w:tab w:val="left" w:pos="2694"/>
        </w:tabs>
        <w:ind w:left="623" w:right="51" w:firstLine="0"/>
        <w:contextualSpacing w:val="0"/>
        <w:jc w:val="both"/>
      </w:pPr>
      <w:r w:rsidDel="00000000" w:rsidR="00000000" w:rsidRPr="00000000">
        <w:rPr>
          <w:rtl w:val="0"/>
        </w:rPr>
      </w:r>
    </w:p>
    <w:p w:rsidR="00000000" w:rsidDel="00000000" w:rsidP="00000000" w:rsidRDefault="00000000" w:rsidRPr="00000000">
      <w:pPr>
        <w:numPr>
          <w:ilvl w:val="0"/>
          <w:numId w:val="4"/>
        </w:numPr>
        <w:tabs>
          <w:tab w:val="right" w:pos="2410"/>
          <w:tab w:val="left" w:pos="2694"/>
        </w:tabs>
        <w:ind w:left="36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conoce por parte de la Escuela de Matemática en Oficio EM-78-2002 del 15 de marzo, que se realizó un trámite de Creación de Unidad para atender la Carrera de Enseñanza de la Matemática y que a la fecha no ha tenido respuesta, sin embargo, se le señaló que “la creación de la unidad no procede de acuerdo con la reglamentación que, hasta el día de hoy, sigue vigente”.</w:t>
      </w:r>
      <w:r w:rsidDel="00000000" w:rsidR="00000000" w:rsidRPr="00000000">
        <w:rPr>
          <w:rtl w:val="0"/>
        </w:rPr>
      </w:r>
    </w:p>
    <w:p w:rsidR="00000000" w:rsidDel="00000000" w:rsidP="00000000" w:rsidRDefault="00000000" w:rsidRPr="00000000">
      <w:pPr>
        <w:tabs>
          <w:tab w:val="right" w:pos="2410"/>
          <w:tab w:val="left" w:pos="2694"/>
        </w:tabs>
        <w:ind w:left="623" w:right="51" w:firstLine="0"/>
        <w:contextualSpacing w:val="0"/>
        <w:jc w:val="both"/>
      </w:pPr>
      <w:r w:rsidDel="00000000" w:rsidR="00000000" w:rsidRPr="00000000">
        <w:rPr>
          <w:rtl w:val="0"/>
        </w:rPr>
      </w:r>
    </w:p>
    <w:p w:rsidR="00000000" w:rsidDel="00000000" w:rsidP="00000000" w:rsidRDefault="00000000" w:rsidRPr="00000000">
      <w:pPr>
        <w:numPr>
          <w:ilvl w:val="0"/>
          <w:numId w:val="4"/>
        </w:numPr>
        <w:tabs>
          <w:tab w:val="right" w:pos="2410"/>
          <w:tab w:val="left" w:pos="2694"/>
        </w:tabs>
        <w:ind w:left="360" w:right="51"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actual Proyecto de Reglamento de Creación de Unidades pretende considerar la creación de unidades académicas, por tanto, el Consejo Institucional envía a consulta de la Vicerrectoría de Docencia, su dictamen con el fin de que las regulaciones contemplen situaciones como las señaladas por la Escuela de Matemática.</w:t>
      </w:r>
      <w:r w:rsidDel="00000000" w:rsidR="00000000" w:rsidRPr="00000000">
        <w:rPr>
          <w:rtl w:val="0"/>
        </w:rPr>
      </w:r>
    </w:p>
    <w:p w:rsidR="00000000" w:rsidDel="00000000" w:rsidP="00000000" w:rsidRDefault="00000000" w:rsidRPr="00000000">
      <w:pPr>
        <w:ind w:left="374" w:right="51" w:hanging="374"/>
        <w:contextualSpacing w:val="0"/>
        <w:jc w:val="both"/>
      </w:pPr>
      <w:r w:rsidDel="00000000" w:rsidR="00000000" w:rsidRPr="00000000">
        <w:rPr>
          <w:rtl w:val="0"/>
        </w:rPr>
      </w:r>
    </w:p>
    <w:p w:rsidR="00000000" w:rsidDel="00000000" w:rsidP="00000000" w:rsidRDefault="00000000" w:rsidRPr="00000000">
      <w:pPr>
        <w:ind w:left="374" w:right="51" w:hanging="374"/>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sz w:val="22"/>
          <w:szCs w:val="22"/>
          <w:vertAlign w:val="baseline"/>
          <w:rtl w:val="0"/>
        </w:rPr>
        <w:t xml:space="preserve">Derogar el inciso b del acuerdo de la Sesión No. 2204, Artículo 2, del 14 de noviembre del 2001.</w:t>
      </w:r>
      <w:r w:rsidDel="00000000" w:rsidR="00000000" w:rsidRPr="00000000">
        <w:rPr>
          <w:rtl w:val="0"/>
        </w:rPr>
      </w:r>
    </w:p>
    <w:p w:rsidR="00000000" w:rsidDel="00000000" w:rsidP="00000000" w:rsidRDefault="00000000" w:rsidRPr="00000000">
      <w:pPr>
        <w:ind w:left="340" w:right="51"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sz w:val="22"/>
          <w:szCs w:val="22"/>
          <w:vertAlign w:val="baseline"/>
          <w:rtl w:val="0"/>
        </w:rPr>
        <w:t xml:space="preserve">Incorporar un inciso b que se lea: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720"/>
          <w:tab w:val="left" w:pos="8280"/>
        </w:tabs>
        <w:spacing w:after="0" w:before="0" w:line="240" w:lineRule="auto"/>
        <w:ind w:left="720" w:right="558" w:hanging="360"/>
        <w:jc w:val="both"/>
        <w:rPr>
          <w:b w:val="0"/>
          <w:sz w:val="22"/>
          <w:szCs w:val="22"/>
        </w:rPr>
      </w:pPr>
      <w:r w:rsidDel="00000000" w:rsidR="00000000" w:rsidRPr="00000000">
        <w:rPr>
          <w:rFonts w:ascii="Arial" w:cs="Arial" w:eastAsia="Arial" w:hAnsi="Arial"/>
          <w:b w:val="0"/>
          <w:sz w:val="22"/>
          <w:szCs w:val="22"/>
          <w:vertAlign w:val="baseline"/>
          <w:rtl w:val="0"/>
        </w:rPr>
        <w:t xml:space="preserve">Que todas las Unidades creadas bajo el inciso d, de la Sesión No. 1538, Artículo 10, del 17 de mayo de 1990, derogado por el Consejo Institucional en Sesión No. 2204, Artículo 2, del 14 de noviembre del 2001; tendrán que realizar el trámite para ser reconocidas como Unidades.</w:t>
      </w:r>
    </w:p>
    <w:p w:rsidR="00000000" w:rsidDel="00000000" w:rsidP="00000000" w:rsidRDefault="00000000" w:rsidRPr="00000000">
      <w:pPr>
        <w:ind w:left="340" w:right="51"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sz w:val="22"/>
          <w:szCs w:val="22"/>
          <w:vertAlign w:val="baseline"/>
          <w:rtl w:val="0"/>
        </w:rPr>
        <w:t xml:space="preserve">Incluir un nuevo inciso que diga:</w:t>
      </w:r>
      <w:r w:rsidDel="00000000" w:rsidR="00000000" w:rsidRPr="00000000">
        <w:rPr>
          <w:rtl w:val="0"/>
        </w:rPr>
      </w:r>
    </w:p>
    <w:p w:rsidR="00000000" w:rsidDel="00000000" w:rsidP="00000000" w:rsidRDefault="00000000" w:rsidRPr="00000000">
      <w:pPr>
        <w:ind w:left="340" w:right="51" w:firstLine="0"/>
        <w:contextualSpacing w:val="0"/>
        <w:jc w:val="both"/>
      </w:pPr>
      <w:r w:rsidDel="00000000" w:rsidR="00000000" w:rsidRPr="00000000">
        <w:rPr>
          <w:rtl w:val="0"/>
        </w:rPr>
      </w:r>
    </w:p>
    <w:p w:rsidR="00000000" w:rsidDel="00000000" w:rsidP="00000000" w:rsidRDefault="00000000" w:rsidRPr="00000000">
      <w:pPr>
        <w:numPr>
          <w:ilvl w:val="0"/>
          <w:numId w:val="3"/>
        </w:numPr>
        <w:ind w:left="709" w:right="51" w:hanging="283.0000000000001"/>
        <w:jc w:val="both"/>
        <w:rPr>
          <w:b w:val="0"/>
          <w:sz w:val="22"/>
          <w:szCs w:val="22"/>
        </w:rPr>
      </w:pPr>
      <w:r w:rsidDel="00000000" w:rsidR="00000000" w:rsidRPr="00000000">
        <w:rPr>
          <w:rFonts w:ascii="Arial" w:cs="Arial" w:eastAsia="Arial" w:hAnsi="Arial"/>
          <w:sz w:val="22"/>
          <w:szCs w:val="22"/>
          <w:vertAlign w:val="baseline"/>
          <w:rtl w:val="0"/>
        </w:rPr>
        <w:t xml:space="preserve">Las Unidades de las Carreras de Biotecnología y Enseñanza de la Matemática Asistida por Computadora se les mantendrá los nombramientos de coordinadores(as) (plazos y nuevos nombramientos) hasta tanto se tenga la nueva reglamentación.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2239, Artículo 17, del 14 de junio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Estudios y Remuneraciones </w:t>
            </w:r>
            <w:r w:rsidDel="00000000" w:rsidR="00000000" w:rsidRPr="00000000">
              <w:rPr>
                <w:rtl w:val="0"/>
              </w:rPr>
            </w:r>
          </w:p>
        </w:tc>
      </w:tr>
    </w:tbl>
    <w:p w:rsidR="00000000" w:rsidDel="00000000" w:rsidP="00000000" w:rsidRDefault="00000000" w:rsidRPr="00000000">
      <w:pPr>
        <w:ind w:left="-180" w:firstLine="0"/>
        <w:contextualSpacing w:val="0"/>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1363" w:firstLine="1080.0000000000002"/>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2"/>
      <w:numFmt w:val="lowerLetter"/>
      <w:lvlText w:val="%1."/>
      <w:lvlJc w:val="left"/>
      <w:pPr>
        <w:ind w:left="765" w:firstLine="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723" w:firstLine="144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