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SCI-329-2002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21 de junio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98"/>
              <w:contextualSpacing w:val="0"/>
              <w:jc w:val="both"/>
            </w:pPr>
            <w:r w:rsidDel="00000000" w:rsidR="00000000" w:rsidRPr="00000000">
              <w:rPr>
                <w:rFonts w:ascii="Arial" w:cs="Arial" w:eastAsia="Arial" w:hAnsi="Arial"/>
                <w:b w:val="1"/>
                <w:sz w:val="20"/>
                <w:szCs w:val="20"/>
                <w:vertAlign w:val="baseline"/>
                <w:rtl w:val="0"/>
              </w:rPr>
              <w:t xml:space="preserve">Máster José Gabriel Castillo Araya, Profesor Asociado de la Escuela de Diseño Industrial</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2241, Artículo 15, del 21 de junio del 2002.   Interpretación auténtica de los Artículos 20, 24, 46, 47, 58 y 60 del Reglamento de Carrera Profesional solicitados por el Máster José Gabriel Castillo Araya, Profesor Asociado de la Escuela de Diseño Industrial</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left="851" w:right="618" w:hanging="284"/>
        <w:contextualSpacing w:val="0"/>
      </w:pPr>
      <w:r w:rsidDel="00000000" w:rsidR="00000000" w:rsidRPr="00000000">
        <w:rPr>
          <w:rtl w:val="0"/>
        </w:rPr>
      </w:r>
    </w:p>
    <w:p w:rsidR="00000000" w:rsidDel="00000000" w:rsidP="00000000" w:rsidRDefault="00000000" w:rsidRPr="00000000">
      <w:pPr>
        <w:numPr>
          <w:ilvl w:val="0"/>
          <w:numId w:val="1"/>
        </w:numPr>
        <w:tabs>
          <w:tab w:val="right" w:pos="2410"/>
          <w:tab w:val="left" w:pos="2694"/>
        </w:tabs>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recibió en Sesión No. 2174 del 1 de junio del 2001, nota del Máster José Gabriel Castillo, Profesor Asociado de la Escuela de Diseño Industrial, dirigido a Miembros(as) del Consejo Institucional, con fecha 25 de mayo del 2001, donde solicita la interpretación autentica de las normas 58, 79 del Reglamento de Carrera Profesional y que se interprete la tabla de puntos para paso de categoría del Departamento de Recursos Humanos, así como la nota final con *(asterisco). Solicitud que es reiterada al Ing. Alejandro Cruz Molina, Presidente  del Consejo Institucional por el Máster Castillo,  con nota de  fecha 13 de febrero del 2002 presentada, en Sesión No. 2218 del 22 de febrero del 2002 , en la que solicita que dé respuesta a otras notas enviadas al Consejo Institucional en relación con el Reglamento de Carrera Profesional.</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p w:rsidR="00000000" w:rsidDel="00000000" w:rsidP="00000000" w:rsidRDefault="00000000" w:rsidRPr="00000000">
      <w:pPr>
        <w:numPr>
          <w:ilvl w:val="0"/>
          <w:numId w:val="1"/>
        </w:numPr>
        <w:tabs>
          <w:tab w:val="right" w:pos="2410"/>
          <w:tab w:val="left" w:pos="2694"/>
        </w:tabs>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la Sesión No. 2218 del 22 de febrero del 2002, se le solicitó a la Comisión de Asuntos Académicos y Estudiantiles, gestionar en la Asesoría Legal el criterio sobre dicha interpretación, gestión que se realizó con memorando SCI-156-2002 del 12 de abril del 2002 dirigido al Lic. Eduardo Arcia Director  Oficina de Asesoría Legal.</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p w:rsidR="00000000" w:rsidDel="00000000" w:rsidP="00000000" w:rsidRDefault="00000000" w:rsidRPr="00000000">
      <w:pPr>
        <w:numPr>
          <w:ilvl w:val="0"/>
          <w:numId w:val="1"/>
        </w:numPr>
        <w:tabs>
          <w:tab w:val="right" w:pos="2410"/>
          <w:tab w:val="left" w:pos="2694"/>
        </w:tabs>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recibió memorando de la Asesoría Legal  AL-111-02 del 15 de abril del 2002, del Lic. Víctor A. Jiménez Navarro, donde manifiesta que para efectos de que el Consejo Institucional se pronuncie en relación a la interpretación que solicitó el señor Castillo, es criterio de la Asesoría Legal, solicitarle que sea puntual y específico sobre que aspectos deben versar la interpretación, acción que se realizó con memorando SCI-165-2002 del 23 de abril 2002 y de la cual el señor Gabriel Castillo Araya, Profesor Asociado de la Escuela de Diseño Industrial se refiere con memorando de fecha 29 de abril del 2002</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2241, Artículo 15, del 21 de junio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p w:rsidR="00000000" w:rsidDel="00000000" w:rsidP="00000000" w:rsidRDefault="00000000" w:rsidRPr="00000000">
      <w:pPr>
        <w:numPr>
          <w:ilvl w:val="0"/>
          <w:numId w:val="1"/>
        </w:numPr>
        <w:tabs>
          <w:tab w:val="right" w:pos="2410"/>
          <w:tab w:val="left" w:pos="2694"/>
        </w:tabs>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memorando SCI-215-2002 del 10 de mayo del 2002, la Comisión de Asuntos Académicos y Estudiantiles, le remitió a la Asesoría Legal la nota del señor Castillo, además  solicitándole a dicha Asesoría  que continuará con la interpretación.</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p w:rsidR="00000000" w:rsidDel="00000000" w:rsidP="00000000" w:rsidRDefault="00000000" w:rsidRPr="00000000">
      <w:pPr>
        <w:numPr>
          <w:ilvl w:val="0"/>
          <w:numId w:val="1"/>
        </w:numPr>
        <w:tabs>
          <w:tab w:val="right" w:pos="2410"/>
          <w:tab w:val="left" w:pos="2694"/>
        </w:tabs>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recibió memorando AL-131-02 del 14 de mayo del 2002, del Lic. Víctor Jiménez Navarro, Asesor Legal, donde indica que la Asesoría Legal, no encuentra condiciones ni lagunas en la normativa interna del Instituto Tecnológico de Costa Rica (ITCR), que recomienden una interpretación de parte del Consejo Institucional, ya que dicha normativa resulta clara y acorde con las regulaciones que en materia de recursos dispone la legislación nacional (Ley General de la Administración Pública).</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p w:rsidR="00000000" w:rsidDel="00000000" w:rsidP="00000000" w:rsidRDefault="00000000" w:rsidRPr="00000000">
      <w:pPr>
        <w:numPr>
          <w:ilvl w:val="0"/>
          <w:numId w:val="1"/>
        </w:numPr>
        <w:tabs>
          <w:tab w:val="right" w:pos="2410"/>
          <w:tab w:val="left" w:pos="2694"/>
        </w:tabs>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Asuntos Académicos y Estudiantiles, analizó los documentos antes mencionados y no se encontró fundamentos que ameriten una interpretación auténtica del Consejo Institucional.</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tl w:val="0"/>
        </w:rPr>
      </w:r>
    </w:p>
    <w:p w:rsidR="00000000" w:rsidDel="00000000" w:rsidP="00000000" w:rsidRDefault="00000000" w:rsidRPr="00000000">
      <w:pPr>
        <w:ind w:right="618"/>
        <w:contextualSpacing w:val="0"/>
      </w:pPr>
      <w:r w:rsidDel="00000000" w:rsidR="00000000" w:rsidRPr="00000000">
        <w:rPr>
          <w:rtl w:val="0"/>
        </w:rPr>
      </w:r>
    </w:p>
    <w:p w:rsidR="00000000" w:rsidDel="00000000" w:rsidP="00000000" w:rsidRDefault="00000000" w:rsidRPr="00000000">
      <w:pPr>
        <w:ind w:right="618"/>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right="618"/>
        <w:contextualSpacing w:val="0"/>
      </w:pPr>
      <w:r w:rsidDel="00000000" w:rsidR="00000000" w:rsidRPr="00000000">
        <w:rPr>
          <w:rtl w:val="0"/>
        </w:rPr>
      </w:r>
    </w:p>
    <w:p w:rsidR="00000000" w:rsidDel="00000000" w:rsidP="00000000" w:rsidRDefault="00000000" w:rsidRPr="00000000">
      <w:pPr>
        <w:numPr>
          <w:ilvl w:val="0"/>
          <w:numId w:val="2"/>
        </w:numPr>
        <w:tabs>
          <w:tab w:val="left" w:pos="-1080"/>
        </w:tabs>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No acoger la solicitud de interpretación del Consejo Institucional a los Artículos 20, 24, 46, 47, 58 y 60 del Reglamento de Carrera Profesional, planteada por el Máster Gabriel Castillo Araya, Profesor Asociado de la Escuela de Diseño Industrial, por las razones expuestas en el considerando 5, citado supra, el cual dice: “dicha normativa resulta clara y acorde con las regulaciones que en materia de recursos dispone la legislación nacional (Ley General de Administración Pública)”.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1080"/>
        </w:tabs>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este acuerdo al Máster José Gabriel Castillo Araya, Profesor Asociado de la Escuela de Diseño Industrial.</w:t>
      </w:r>
      <w:r w:rsidDel="00000000" w:rsidR="00000000" w:rsidRPr="00000000">
        <w:rPr>
          <w:rtl w:val="0"/>
        </w:rPr>
      </w:r>
    </w:p>
    <w:p w:rsidR="00000000" w:rsidDel="00000000" w:rsidP="00000000" w:rsidRDefault="00000000" w:rsidRPr="00000000">
      <w:pPr>
        <w:tabs>
          <w:tab w:val="left" w:pos="-1080"/>
        </w:tabs>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1080"/>
        </w:tabs>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Comisión de Carrera Profesional </w:t>
            </w:r>
            <w:r w:rsidDel="00000000" w:rsidR="00000000" w:rsidRPr="00000000">
              <w:rPr>
                <w:rtl w:val="0"/>
              </w:rPr>
            </w:r>
          </w:p>
        </w:tc>
      </w:tr>
    </w:tbl>
    <w:p w:rsidR="00000000" w:rsidDel="00000000" w:rsidP="00000000" w:rsidRDefault="00000000" w:rsidRPr="00000000">
      <w:pPr>
        <w:ind w:left="-18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tabs>
        <w:tab w:val="left" w:pos="5954"/>
      </w:tabs>
      <w:spacing w:after="0" w:before="708" w:line="240" w:lineRule="auto"/>
      <w:ind w:right="-91"/>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65"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