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SCI-331-2002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Nidia Ulett C., Vicerrectora de Docencia ai.</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Lilliana Abarca G., Vicerrectora de Investigación y Extensión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Bernal Martínez G., Director de la Sede Regional San Carlos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Arq. Jorge Sancho V., Director del Centro Académico San José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2241, Artículo 17, del 21 de junio del 2002.   Políticas Específicas Institucionales para la Formulación del Plan Anual Operativo 2003</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Es función del Consejo Institucional definir las Políticas Específicas Institucionales del Instituto Tecnológico de Costa Rica.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Las actuales Políticas Específicas Institucionales fueron definidas hace un año a partir de una discusión y reflexión acerca del futuro desarrollo del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del Ing. Ronald Elizondo Campos, Director de la Oficina de Planificación Institucional los insumos para la revisión de las Orientaciones Institucionales para el año 2003.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La definición de las Políticas Específicas Institucionales se definieron como marco de referencia de las aspiraciones futuras, por ello, requieren de más de un año para poderlas alcanzar y evaluar.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revisó la documentación enviada así como el documento sobre el Diagnóstico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Arial" w:cs="Arial" w:eastAsia="Arial" w:hAnsi="Arial"/>
          <w:sz w:val="22"/>
          <w:szCs w:val="22"/>
          <w:vertAlign w:val="baseline"/>
          <w:rtl w:val="0"/>
        </w:rPr>
        <w:t xml:space="preserve">Ampliar la vigencia de las actuales Orientaciones Institucionales que constituyen el marco para la Formulación del Plan Anual Operativo 2003.</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2241, Artículo 17, del 21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Arial" w:cs="Arial" w:eastAsia="Arial" w:hAnsi="Arial"/>
          <w:sz w:val="22"/>
          <w:szCs w:val="22"/>
          <w:vertAlign w:val="baseline"/>
          <w:rtl w:val="0"/>
        </w:rPr>
        <w:t xml:space="preserve">Solicitar que el proceso de Formulación del Plan Anual Operativo 2003 continúe.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Solicitar a la Presidencia del Consejo Institucional realizar una sesión extraordinaria  en la última semana de mes de julio del 2002, para la presentación en detalle del Diagnóstico del Instituto Tecnológico de Costa Rica del 2002, elaborado por la 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Arial" w:cs="Arial" w:eastAsia="Arial" w:hAnsi="Arial"/>
          <w:sz w:val="22"/>
          <w:szCs w:val="22"/>
          <w:vertAlign w:val="baseline"/>
          <w:rtl w:val="0"/>
        </w:rPr>
        <w:t xml:space="preserve">Evaluar las Políticas Específicas a la luz del Diagnóstico Institucional 2002.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