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SCI-571-2002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24 de setiembre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Ana Isabel Solano B., MBA., Vicerrectora de Administración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Licda. Auxiliadora Navarro C., Directora del Departamento Financiero Contable</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0"/>
                <w:szCs w:val="20"/>
                <w:vertAlign w:val="baseline"/>
                <w:rtl w:val="0"/>
              </w:rPr>
              <w:t xml:space="preserve">Licda. Bertalía Sánchez S., Directora Ejecutiva de la Secretaría del Consejo Institucional </w:t>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2254, Artículo 2, del 24 de setiembre del 2002.   Presupuesto Extraordinario No. 03-2002 y Modificación Externa No. 1-2002</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2252, Artículo Único, del 17 de setiembre del 2002, aprobó la Distribución del Presupuesto Extraordinario No. 3-2002 y Modificación Externa No. 1-2002, con base en propuesta presentada por el Ing. Alejandro Cruz M., en oficio R-362-02, del 11 de setiembre del 2002.</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recibió copia del memorando AUDI-252-2002, con fecha 19 de setiembre del 2002, de la Licda. Adriana Rodríguez Zeledón, Auditora Interna a.i., dirigido al M.A.E. José Miguel Solano Siles, Director del Departamento de Recursos Humanos, donde envía la revisión preliminar de las economías de salarios.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memorando VAD-164-2002, con fecha 23 de setiembre del 2002, de la Licda. Ana Isabel Solano, MBA, Vicerrectora de Administración, donde adjunta el Presupuesto Extraordinario No. 3-2002 y Modificación Externa No.1-2002.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memorando PAO-OPI-071-2002 del 23 de setiembre del 2002, suscrito por el Ing. Ronald Elizondo C., Director de la Oficina de Planificación Institucional, en el que se adjunta el pronunciamiento sobre la modificación al PAO-2002, producto de la aplicación de los nuevos recursos.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recibieron memoranda AUDI-253-2002 y AUDI-254-202, de fecha 23 de setiembre del 2002, con observaciones a los documentos Presupuesto Extraordinario No. 03-2002, Modificación Externa No. 01-2002 y Modificación al PAO-2002.</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2254, Artículo 2, del 24 de setiembre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Se recibió memorado PAO-OPI-073-2002, de fecha 23 de setiembre del 2002, suscrito por el Ing. Ronald Elizondo C., Director de la Oficina de Planificación Institucional, en el que señala que la aplicación de los recursos provenientes de la Modificación Externa No. 1-2002, no afecta el Plan Anual Operativo 2002.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los documentos “Presupuesto Extraordinario No. 3-2002”, por un monto de ¢184.354.7 miles de colones, “Modificación Externa 1-2002”, por un monto de ¢140.000.0  miles de colones y Modificación al  PAO-2002, según memorando       PAO-OPI-071-2002 y PAO-OPI-073-02.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Tramitar los documentos “Presupuesto Extraordinario 3-2002”, “Modificación Externa No. 01-2002” y “Modificación al Plan Anual Operativo 2002, ante la Contraloría General de la República; para su aprobación.</w:t>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Dar seguimiento a la Relación de Puestos, con el propósito de racionalizar el crecimiento e impacto presupuestario, debido a que es uno de los rubros más importantes del Instituto.</w:t>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Acoger las observaciones planteadas en los oficios AUDI-253-2002 y AUDI-254-2002, de la Licda. Adriana Rodríguez Zeledón, Auditora Interna a.i,  con fecha 19 de setiembre del 2002.</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Solicitar a la Auditoría Interna dar seguimiento a la ejecución de los rubros de Inversiones y Sustitución de  Personal, de la Relación de Puestos, incluidos en el presente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Publicar.  </w:t>
      </w:r>
      <w:r w:rsidDel="00000000" w:rsidR="00000000" w:rsidRPr="00000000">
        <w:rPr>
          <w:rFonts w:ascii="Arial" w:cs="Arial" w:eastAsia="Arial" w:hAnsi="Arial"/>
          <w:b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VIESA</w:t>
            </w:r>
          </w:p>
        </w:tc>
      </w:tr>
      <w:tr>
        <w:tc>
          <w:tcPr/>
          <w:p w:rsidR="00000000" w:rsidDel="00000000" w:rsidP="00000000" w:rsidRDefault="00000000" w:rsidRPr="00000000">
            <w:pPr>
              <w:keepNext w:val="1"/>
              <w:spacing w:after="0" w:before="0" w:line="240" w:lineRule="auto"/>
              <w:ind w:left="284" w:right="567" w:firstLine="0"/>
              <w:contextualSpacing w:val="0"/>
            </w:pPr>
            <w:r w:rsidDel="00000000" w:rsidR="00000000" w:rsidRPr="00000000">
              <w:rPr>
                <w:rFonts w:ascii="Arial" w:cs="Arial" w:eastAsia="Arial" w:hAnsi="Arial"/>
                <w:b w:val="1"/>
                <w:sz w:val="18"/>
                <w:szCs w:val="18"/>
                <w:vertAlign w:val="baseline"/>
                <w:rtl w:val="0"/>
              </w:rPr>
              <w:t xml:space="preserve">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Unidad de Presupuesto</w:t>
            </w:r>
            <w:r w:rsidDel="00000000" w:rsidR="00000000" w:rsidRPr="00000000">
              <w:rPr>
                <w:rtl w:val="0"/>
              </w:rPr>
            </w:r>
          </w:p>
        </w:tc>
      </w:tr>
    </w:tbl>
    <w:p w:rsidR="00000000" w:rsidDel="00000000" w:rsidP="00000000" w:rsidRDefault="00000000" w:rsidRPr="00000000">
      <w:pPr>
        <w:tabs>
          <w:tab w:val="center" w:pos="4419"/>
          <w:tab w:val="right" w:pos="8838"/>
        </w:tabs>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sectPr>
      <w:headerReference r:id="rId5"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spacing w:after="0" w:before="708" w:line="240" w:lineRule="auto"/>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a."/>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2"/>
      <w:numFmt w:val="lowerLetter"/>
      <w:lvlText w:val="%1."/>
      <w:lvlJc w:val="left"/>
      <w:pPr>
        <w:ind w:left="850" w:firstLine="567"/>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