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SCI-622-2002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10 de octubre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Ing. Warner Chaves V., Presidente del Directorio de la Asamblea Institucional Representativa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 Eduardo Uribe L., Profesor Escuela de Administración de Empresas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MBA. Alejandro Masís A., Director del Departamento de Aprovisionamiento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Rocío Herrera O., Funcionaria del Departamento de Recursos Humanos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 Edgar Guillén S., Funcionario del Departamento de Orientación y Psicología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 Elías Calderón O., Funcionario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jc w:val="both"/>
            </w:pPr>
            <w:r w:rsidDel="00000000" w:rsidR="00000000" w:rsidRPr="00000000">
              <w:rPr>
                <w:rFonts w:ascii="Arial" w:cs="Arial" w:eastAsia="Arial" w:hAnsi="Arial"/>
                <w:b w:val="1"/>
                <w:sz w:val="20"/>
                <w:szCs w:val="20"/>
                <w:vertAlign w:val="baseline"/>
                <w:rtl w:val="0"/>
              </w:rPr>
              <w:t xml:space="preserve">MBA. Virginia Valverde H., Presidenta del Tribunal Institucional Electoral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Srta. Rosa Angélica Aguilar L., Representante Estudiantil, Federación de Estudiantes del Tecnológico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2257, Artículo 10, del 10 de octubre del 2002.   Ratificar Comisión de Análisis que dictaminará el proyecto de Modificación a los Artículos 26, 32, del 61 al 68 del Estatuto Orgánico “Mecanismo de Elección de Director Departamento no Académico”</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memorando AIR-185-02, del Ing. Warner Chaves V., Presidente del Directorio de la Asamblea Institucional Representativa , dirigida al Ing. Alejandro Cruz M., Presidente del Consejo Institucional, con fecha 7 de octubre del 2002, donde informa que en Sesión Ordinaria No. 65-02, del 4 de octubre del 2002, el Directorio de la AIR,  acordó integrar una Comisión de Análisis con el fin de dictaminar sobre el proyecto de Modificación al Estatuto Orgánico, referidas al Mecanismo de Elección de Director (Departamento no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estará constituida por las siguientes personas:  Lic. Eduardo Uribe López, Representante Docente, Coordinador; MBA. Alejandro Masís Arce, Representante Administrativo, Licda. Rocío Herrera Obando, Representante Administrativa, Lic. Edgar Guillén Sánchez, Representante Docente, Srta. Rosa Angélica Aguilar López, Representante Estudiantil y Miembra del Directorio e Lic. Elías Calderón Ortega, Representante Administrativo, Miembro del Directorio.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2257, Artículo 10, del 10 de octubre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cuenta con un plazo hasta el 30 de noviembre del 2002, para entregar su dictamen al Directorio de la AIR, para analizar y discutir en la Sesión AIR-52-03.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del Estatuto Orgánico en reunión celebrada el 8 de octubre del 2002, según consta en su Minuta No. 07-02, analizó el acuerdo remitido por el Directorio de la AIR y consideró importante integrar en dicha Comisión, a la MBA. Virginia Valverde Hernández, Presidenta del Tribunal Institucional Electoral.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Ratificar la Comisión Análisis para dictaminar sobre el proyecto de Modificación al Estatuto Orgánico, referidas al Mecanismo de Elección de Director (Departamento no académico), la cual estará integrada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Lic. Eduardo Uribe López, Representante Docente, Coordinador</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MBA. Alejandro Masís Arce, Representante Administrativo</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Licda. Rocío Herrera Obando, Representante Administrativa</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Lic. Edgar Guillén Sánchez, Representante Docente</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Srta. Rosa Angélica Aguilar López, Representante Estudiantil y Miembra del Directorio </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Lic. Elías Calderón Ortega, Representante Administrativo, Miembro del Directorio y la </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MBA. Virginia Valverde Hernández, Presidenta del Tribunal Institucional Electoral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Escuela de Administración de Empresas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Recursos Humanos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Orientación y Psicología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ind w:right="5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b w:val="1"/>
        <w:i w:val="0"/>
        <w:sz w:val="22"/>
        <w:szCs w:val="22"/>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440" w:firstLine="108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