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SCI-390-2002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julio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Warner Chaves V., Presidente del Directorio de la Asamblea Institucional Representativa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Carlos Badilla Corrales, Coordinador de la Comisión de Análisis para dictaminar sobre la “Integración y alternancia de nombramiento del Directorio de la Asamblea Institucional Representativa”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Miembra y Miembros de la Comisión de Análisis para dictaminar sobre la “Integración y alternancia de nombramiento del Directorio de la Asamblea Institucional Representativa”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2244, Artículo 9, del 26 de julio del 2002.   Ratificación de Integración Comisión de Análisis para dictaminar sobre la “Integración y alternancia de nombramiento del Directorio de la Asamblea Institucional Representativa”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hanging="284"/>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Reglamento de la Asamblea Institucional Representativa, en su Artículo 4, inciso b), establece que</w:t>
      </w:r>
      <w:r w:rsidDel="00000000" w:rsidR="00000000" w:rsidRPr="00000000">
        <w:rPr>
          <w:rFonts w:ascii="Arial" w:cs="Arial" w:eastAsia="Arial" w:hAnsi="Arial"/>
          <w:color w:val="0000ff"/>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para dictaminar sobre</w:t>
      </w:r>
      <w:r w:rsidDel="00000000" w:rsidR="00000000" w:rsidRPr="00000000">
        <w:rPr>
          <w:rFonts w:ascii="Arial" w:cs="Arial" w:eastAsia="Arial" w:hAnsi="Arial"/>
          <w:color w:val="0000ff"/>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las iniciativas de reformas al Estatuto Orgánico relacionadas con la integración y funciones de la Asamblea Institucional y del Consejo Institucional; “se nombrará una comisión especial, integrada por cinco miembros(as), quienes serán designados de común acuerdo entre el Directorio de la Asamblea Institucional Representativa y el Consejo Institucional, la que dictaminará sobre la propuesta de reforma”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memorando AIR-066-02, del Ing. Warner Chaves V., Presidente del Directorio de la Asamblea Institucional Representativa, dirigido al Ing. Alejandro Cruz M., Presidente del Consejo Institucional, con fecha 10 de junio del 2002, en el que comunica la integración de la Comisión de Análisis para dictaminar sobre la “Integración y alternancia de nombramiento del Directorio de la Asamblea Institucional Representativa”.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2244, Artículo 9, del 26 de julio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Ratificar la integración de la Comisión de Análisis para dictaminar sobre la  “Integración y alternancia de nombramiento del Directorio de la Asamblea Institucional Representativa”, constituida de la siguiente manera:  Ing. Carlos Badilla Corrales, Docente quien la coordina, señora Elizabeth Gómez Guzmán, Representante Administrativa, Ing. Edgardo Vargas Jarquín, Representante Docente, MBA. José Rafael Hidalgo Rojas, Representante Docente y el señor Miguel González Chacón, Representante Estudiantil.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TIE</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AFITEC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APROTEC</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05"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