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SCI-014-2004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22 de enero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Dr. Luis Gerardo Meza C., Vicerrector de Docencia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0"/>
              <w:contextualSpacing w:val="0"/>
              <w:jc w:val="both"/>
            </w:pPr>
            <w:r w:rsidDel="00000000" w:rsidR="00000000" w:rsidRPr="00000000">
              <w:rPr>
                <w:rFonts w:ascii="Arial" w:cs="Arial" w:eastAsia="Arial" w:hAnsi="Arial"/>
                <w:b w:val="1"/>
                <w:sz w:val="20"/>
                <w:szCs w:val="20"/>
                <w:vertAlign w:val="baseline"/>
                <w:rtl w:val="0"/>
              </w:rPr>
              <w:t xml:space="preserve">MBA. José Rafael Hidalgo R. Vicerrector de Administración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0"/>
              <w:contextualSpacing w:val="0"/>
              <w:jc w:val="both"/>
            </w:pPr>
            <w:r w:rsidDel="00000000" w:rsidR="00000000" w:rsidRPr="00000000">
              <w:rPr>
                <w:rFonts w:ascii="Arial" w:cs="Arial" w:eastAsia="Arial" w:hAnsi="Arial"/>
                <w:b w:val="1"/>
                <w:sz w:val="20"/>
                <w:szCs w:val="20"/>
                <w:vertAlign w:val="baseline"/>
                <w:rtl w:val="0"/>
              </w:rPr>
              <w:t xml:space="preserve">MSc. Jeannette Barrantes M., Vicerrectora de Vida Estudiantil y Servicios Académico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0"/>
              <w:contextualSpacing w:val="0"/>
              <w:jc w:val="both"/>
            </w:pPr>
            <w:r w:rsidDel="00000000" w:rsidR="00000000" w:rsidRPr="00000000">
              <w:rPr>
                <w:rFonts w:ascii="Arial" w:cs="Arial" w:eastAsia="Arial" w:hAnsi="Arial"/>
                <w:b w:val="1"/>
                <w:sz w:val="20"/>
                <w:szCs w:val="20"/>
                <w:vertAlign w:val="baseline"/>
                <w:rtl w:val="0"/>
              </w:rPr>
              <w:t xml:space="preserve">Licda. Ana Isabel Solano B., MBA., Directora del Departamento Financiero Contable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Lic. Edgar López R., Director del Departamento de Admisión y Registro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ind w:right="51"/>
              <w:contextualSpacing w:val="0"/>
              <w:jc w:val="both"/>
            </w:pPr>
            <w:r w:rsidDel="00000000" w:rsidR="00000000" w:rsidRPr="00000000">
              <w:rPr>
                <w:rFonts w:ascii="Arial" w:cs="Arial" w:eastAsia="Arial" w:hAnsi="Arial"/>
                <w:b w:val="0"/>
                <w:sz w:val="20"/>
                <w:szCs w:val="20"/>
                <w:vertAlign w:val="baseline"/>
                <w:rtl w:val="0"/>
              </w:rPr>
              <w:t xml:space="preserve">Licda. Bertalía Sánchez S., Directora Ejecutiva de la Secretaría del Consejo Institucional </w:t>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2336, Artículo 2, del 22 de enero del 2004.  Firmeza del acuerdo tomado por el Consejo Institucional en Sesión No. 2335, Artículo 12, del 19 de diciembre del 2003.  Calendario de pago de Derechos de Estudio periodo 2004</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22"/>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ind w:right="22"/>
        <w:contextualSpacing w:val="0"/>
        <w:jc w:val="both"/>
      </w:pPr>
      <w:r w:rsidDel="00000000" w:rsidR="00000000" w:rsidRPr="00000000">
        <w:rPr>
          <w:rtl w:val="0"/>
        </w:rPr>
      </w:r>
    </w:p>
    <w:p w:rsidR="00000000" w:rsidDel="00000000" w:rsidP="00000000" w:rsidRDefault="00000000" w:rsidRPr="00000000">
      <w:pPr>
        <w:numPr>
          <w:ilvl w:val="0"/>
          <w:numId w:val="2"/>
        </w:numPr>
        <w:ind w:left="400" w:hanging="400"/>
        <w:jc w:val="both"/>
        <w:rPr/>
      </w:pPr>
      <w:r w:rsidDel="00000000" w:rsidR="00000000" w:rsidRPr="00000000">
        <w:rPr>
          <w:rFonts w:ascii="Arial" w:cs="Arial" w:eastAsia="Arial" w:hAnsi="Arial"/>
          <w:sz w:val="22"/>
          <w:szCs w:val="22"/>
          <w:vertAlign w:val="baseline"/>
          <w:rtl w:val="0"/>
        </w:rPr>
        <w:t xml:space="preserve">El Consejo Institucional en Sesión No. 2306, Artículo 9, del 21 de agosto del 2003, acordó: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00" w:right="760"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a</w:t>
      </w: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tabs>
          <w:tab w:val="left" w:pos="900"/>
        </w:tabs>
        <w:ind w:left="500" w:right="760" w:firstLine="0"/>
        <w:contextualSpacing w:val="0"/>
        <w:jc w:val="both"/>
      </w:pPr>
      <w:r w:rsidDel="00000000" w:rsidR="00000000" w:rsidRPr="00000000">
        <w:rPr>
          <w:rFonts w:ascii="Arial" w:cs="Arial" w:eastAsia="Arial" w:hAnsi="Arial"/>
          <w:i w:val="1"/>
          <w:sz w:val="20"/>
          <w:szCs w:val="20"/>
          <w:vertAlign w:val="baseline"/>
          <w:rtl w:val="0"/>
        </w:rPr>
        <w:t xml:space="preserve"> </w:t>
      </w:r>
      <w:r w:rsidDel="00000000" w:rsidR="00000000" w:rsidRPr="00000000">
        <w:rPr>
          <w:rFonts w:ascii="Arial" w:cs="Arial" w:eastAsia="Arial" w:hAnsi="Arial"/>
          <w:b w:val="1"/>
          <w:i w:val="1"/>
          <w:sz w:val="20"/>
          <w:szCs w:val="20"/>
          <w:vertAlign w:val="baseline"/>
          <w:rtl w:val="0"/>
        </w:rPr>
        <w:t xml:space="preserve">b</w:t>
      </w:r>
      <w:r w:rsidDel="00000000" w:rsidR="00000000" w:rsidRPr="00000000">
        <w:rPr>
          <w:rFonts w:ascii="Arial" w:cs="Arial" w:eastAsia="Arial" w:hAnsi="Arial"/>
          <w:i w:val="1"/>
          <w:sz w:val="20"/>
          <w:szCs w:val="20"/>
          <w:vertAlign w:val="baseline"/>
          <w:rtl w:val="0"/>
        </w:rPr>
        <w:t xml:space="preserve"> ...</w:t>
      </w:r>
      <w:r w:rsidDel="00000000" w:rsidR="00000000" w:rsidRPr="00000000">
        <w:rPr>
          <w:rtl w:val="0"/>
        </w:rPr>
      </w:r>
    </w:p>
    <w:p w:rsidR="00000000" w:rsidDel="00000000" w:rsidP="00000000" w:rsidRDefault="00000000" w:rsidRPr="00000000">
      <w:pPr>
        <w:tabs>
          <w:tab w:val="left" w:pos="7797"/>
        </w:tabs>
        <w:ind w:left="900" w:right="1043" w:hanging="900"/>
        <w:contextualSpacing w:val="0"/>
        <w:jc w:val="both"/>
      </w:pPr>
      <w:r w:rsidDel="00000000" w:rsidR="00000000" w:rsidRPr="00000000">
        <w:rPr>
          <w:rFonts w:ascii="Arial" w:cs="Arial" w:eastAsia="Arial" w:hAnsi="Arial"/>
          <w:b w:val="1"/>
          <w:i w:val="1"/>
          <w:sz w:val="20"/>
          <w:szCs w:val="20"/>
          <w:vertAlign w:val="baseline"/>
          <w:rtl w:val="0"/>
        </w:rPr>
        <w:t xml:space="preserve">          c.   </w:t>
      </w:r>
      <w:r w:rsidDel="00000000" w:rsidR="00000000" w:rsidRPr="00000000">
        <w:rPr>
          <w:rFonts w:ascii="Arial" w:cs="Arial" w:eastAsia="Arial" w:hAnsi="Arial"/>
          <w:i w:val="1"/>
          <w:sz w:val="20"/>
          <w:szCs w:val="20"/>
          <w:vertAlign w:val="baseline"/>
          <w:rtl w:val="0"/>
        </w:rPr>
        <w:t xml:space="preserve">Solicitar a la Comisión de Planificación y Administración, el análisis para la definición de  fechas límites para el cobro de los derechos de estudio, a partir del 2004”</w:t>
      </w:r>
      <w:r w:rsidDel="00000000" w:rsidR="00000000" w:rsidRPr="00000000">
        <w:rPr>
          <w:rtl w:val="0"/>
        </w:rPr>
      </w:r>
    </w:p>
    <w:p w:rsidR="00000000" w:rsidDel="00000000" w:rsidP="00000000" w:rsidRDefault="00000000" w:rsidRPr="00000000">
      <w:pPr>
        <w:ind w:left="426" w:hanging="426"/>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pPr>
      <w:r w:rsidDel="00000000" w:rsidR="00000000" w:rsidRPr="00000000">
        <w:rPr>
          <w:rFonts w:ascii="Arial" w:cs="Arial" w:eastAsia="Arial" w:hAnsi="Arial"/>
          <w:sz w:val="22"/>
          <w:szCs w:val="22"/>
          <w:vertAlign w:val="baseline"/>
          <w:rtl w:val="0"/>
        </w:rPr>
        <w:t xml:space="preserve">El Consejo Institucional recibió el memorando VAD-390-2003, suscrito por el MBA. José Rafael Hidalgo, Vicerrector de Administración, dirigido al Ing. Rafael Gutiérrez, Coordinador de la Comisión de Planificación y Administración, con fecha 20 de noviembre del 2004, en el cual se adjunta el Calendario de Cobro de Derechos de Estudio 2004; lo anterior para incorporarlo en el Calendario Oficial 2004.</w:t>
      </w:r>
      <w:r w:rsidDel="00000000" w:rsidR="00000000" w:rsidRPr="00000000">
        <w:rPr>
          <w:rtl w:val="0"/>
        </w:rPr>
      </w:r>
    </w:p>
    <w:p w:rsidR="00000000" w:rsidDel="00000000" w:rsidP="00000000" w:rsidRDefault="00000000" w:rsidRPr="00000000">
      <w:pPr>
        <w:ind w:left="426" w:hanging="426"/>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pPr>
      <w:r w:rsidDel="00000000" w:rsidR="00000000" w:rsidRPr="00000000">
        <w:rPr>
          <w:rFonts w:ascii="Arial" w:cs="Arial" w:eastAsia="Arial" w:hAnsi="Arial"/>
          <w:sz w:val="22"/>
          <w:szCs w:val="22"/>
          <w:vertAlign w:val="baseline"/>
          <w:rtl w:val="0"/>
        </w:rPr>
        <w:t xml:space="preserve">La Comisión de Planificación y Administración en su reunión celebrada el 08 de diciembre del 2003, según consta en Minuta No. 63-03, analizó el tema y avaló la propuesta presentada.</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2336, Artículo 2, del 22 de enero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00" w:hanging="400"/>
        <w:jc w:val="both"/>
        <w:rPr/>
      </w:pPr>
      <w:r w:rsidDel="00000000" w:rsidR="00000000" w:rsidRPr="00000000">
        <w:rPr>
          <w:rFonts w:ascii="Arial" w:cs="Arial" w:eastAsia="Arial" w:hAnsi="Arial"/>
          <w:sz w:val="22"/>
          <w:szCs w:val="22"/>
          <w:vertAlign w:val="baseline"/>
          <w:rtl w:val="0"/>
        </w:rPr>
        <w:t xml:space="preserve">Aprobar el Calendario de Pago de los Derechos de Estudio para el año 2004, como se detalla a continuación: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2"/>
        <w:bidi w:val="0"/>
        <w:tblW w:w="8500.0" w:type="dxa"/>
        <w:jc w:val="left"/>
        <w:tblInd w:w="400.0" w:type="dxa"/>
        <w:tblLayout w:type="fixed"/>
        <w:tblLook w:val="0000"/>
      </w:tblPr>
      <w:tblGrid>
        <w:gridCol w:w="3002"/>
        <w:gridCol w:w="1649"/>
        <w:gridCol w:w="1249"/>
        <w:gridCol w:w="2600"/>
        <w:tblGridChange w:id="0">
          <w:tblGrid>
            <w:gridCol w:w="3002"/>
            <w:gridCol w:w="1649"/>
            <w:gridCol w:w="1249"/>
            <w:gridCol w:w="2600"/>
          </w:tblGrid>
        </w:tblGridChange>
      </w:tblGrid>
      <w:tr>
        <w:trPr>
          <w:trHeight w:val="240" w:hRule="atLeast"/>
        </w:trPr>
        <w:tc>
          <w:tcPr>
            <w:gridSpan w:val="4"/>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PAGO DE DERECHOS DE ESTUDIO I PERIODO 2004</w:t>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MAESTRIA I CUATRIMESTRE y I TRIMESTRE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SIN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HORARIO ESP.</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26-01-2004 AL 06-02-2004</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25% DE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09-02-2004 AL 20-02-2004</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50% DE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23-02-2004 EN ADELANTE</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LICENCIATURA I TRIMESTRE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SIN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26-01-2004 AL 26-02-2004</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25% DE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27-02-2004 AL 12-03-2004</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50% DE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15-03-2004 EN ADELANTE</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BACHILLERATO Y LICENCIATURA I SEMESTRE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SIN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HORARIO ESP.</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09-02-2004 AL 29-03-2004</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25% DE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30-03-2004 AL 09-04-2004</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50% DE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10-04-2004 EN ADELANTE</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MAESTRIA I SEMESTRE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SIN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HORARIO ESP.</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09-02-2004 AL 20-02-2004</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25% DE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23-02-2004 AL 05-03-2004</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50% DE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08-03-2004 EN ADELANTE</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MAESTRIA II TRIMESTRE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SIN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19-04-2004 AL 30-04-2004</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25% DE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03-05-2004 AL 14-05-2004</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50% DE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17-05-2004 EN ADELANTE</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LICENCIATURA II TRIMESTRE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SIN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19-04-2004 AL 19-05-2004</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25% DE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20-05-2004 AL 03-06-2004</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50% DE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04-06-2004 EN ADELANTE</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MAESTRIA II CUATRIMESTRE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SIN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HORARIO ESP.</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17-05-2004 AL 28-05-2004</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25% DE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31-05-2004 AL 11-06-2004</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50% DE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14-06-2004 EN ADELANTE</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2336, Artículo 2, del 22 de enero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8500.0" w:type="dxa"/>
        <w:jc w:val="left"/>
        <w:tblInd w:w="400.0" w:type="dxa"/>
        <w:tblLayout w:type="fixed"/>
        <w:tblLook w:val="0000"/>
      </w:tblPr>
      <w:tblGrid>
        <w:gridCol w:w="3002"/>
        <w:gridCol w:w="1649"/>
        <w:gridCol w:w="1249"/>
        <w:gridCol w:w="2600"/>
        <w:tblGridChange w:id="0">
          <w:tblGrid>
            <w:gridCol w:w="3002"/>
            <w:gridCol w:w="1649"/>
            <w:gridCol w:w="1249"/>
            <w:gridCol w:w="2600"/>
          </w:tblGrid>
        </w:tblGridChange>
      </w:tblGrid>
      <w:tr>
        <w:trPr>
          <w:trHeight w:val="240" w:hRule="atLeast"/>
        </w:trPr>
        <w:tc>
          <w:tcPr>
            <w:gridSpan w:val="4"/>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PAGO DE DERECHOS DE ESTUDIO II PERIODO 2004</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BACHILLERATO Y LICENCIATURA II SEMESTRE Y III TRIMESTRE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SIN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HORARIO ESP.</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26-07-2004 AL 09-09-2004</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25% DE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10-09-2004 AL 24-09-2004</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50% DE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25-09-2004 EN ADELANTE</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MAESTRIA II SEMESTRE Y III TRIMESTRE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SIN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HORARIO ESP.</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26-07-2004 AL 09-08-2004</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25% DE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10-08-2004 AL 23-08-2004</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50% DE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24-08-2004 EN ADELANTE</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MAESTRIA III CUATRIMESTRE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SIN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HORARIO ESP.</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13-09-2004 AL 27-09-2004</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25% DE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28-09-2004 AL 11-10-2004</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50% DE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12-10-2004 EN ADELANTE</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MAESTRIA IV TRIMESTRE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SIN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HORARIO ESP.</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04-10-2004 AL 18-10-2004</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25% DE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19-10-2004 AL 01-11-2004</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50% DE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02-11-2004 EN ADELANTE</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LICENCIATURA IV TRIMESTRE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SIN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HORARIO ESP.</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04-10-2004 AL 04-11-2004</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25% DE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05-11-2004 AL 18-11-2004</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50% DE RECARGO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DEL 19-11-2004 EN ADELANTE</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284" w:hanging="284"/>
        <w:jc w:val="both"/>
        <w:rPr/>
      </w:pPr>
      <w:r w:rsidDel="00000000" w:rsidR="00000000" w:rsidRPr="00000000">
        <w:rPr>
          <w:rFonts w:ascii="Arial" w:cs="Arial" w:eastAsia="Arial" w:hAnsi="Arial"/>
          <w:sz w:val="22"/>
          <w:szCs w:val="22"/>
          <w:vertAlign w:val="baseline"/>
          <w:rtl w:val="0"/>
        </w:rPr>
        <w:t xml:space="preserve">Derogar los acuerdos del Consejo Institucional o cualquier norma específica que se le oponga.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284" w:hanging="284"/>
        <w:jc w:val="both"/>
        <w:rPr/>
      </w:pPr>
      <w:r w:rsidDel="00000000" w:rsidR="00000000" w:rsidRPr="00000000">
        <w:rPr>
          <w:rFonts w:ascii="Arial" w:cs="Arial" w:eastAsia="Arial" w:hAnsi="Arial"/>
          <w:sz w:val="22"/>
          <w:szCs w:val="22"/>
          <w:vertAlign w:val="baseline"/>
          <w:rtl w:val="0"/>
        </w:rPr>
        <w:t xml:space="preserve">Rige a partir de enero del 2004.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284" w:hanging="284"/>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BSS/gfm</w:t>
      </w:r>
      <w:r w:rsidDel="00000000" w:rsidR="00000000" w:rsidRPr="00000000">
        <w:rPr>
          <w:rtl w:val="0"/>
        </w:rPr>
      </w:r>
    </w:p>
    <w:tbl>
      <w:tblPr>
        <w:tblStyle w:val="Table4"/>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Unidad de Tesorería </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22"/>
        <w:contextualSpacing w:val="0"/>
        <w:jc w:val="both"/>
      </w:pPr>
      <w:r w:rsidDel="00000000" w:rsidR="00000000" w:rsidRPr="00000000">
        <w:rPr>
          <w:rtl w:val="0"/>
        </w:rPr>
      </w:r>
    </w:p>
    <w:sectPr>
      <w:headerReference r:id="rId5" w:type="default"/>
      <w:pgSz w:h="15842" w:w="12242"/>
      <w:pgMar w:bottom="1701" w:top="1701"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20" w:line="240" w:lineRule="auto"/>
      <w:contextualSpacing w:val="0"/>
      <w:jc w:val="right"/>
    </w:pPr>
    <w:r w:rsidDel="00000000" w:rsidR="00000000" w:rsidRPr="00000000">
      <w:rPr>
        <w:rFonts w:ascii="Times New Roman" w:cs="Times New Roman" w:eastAsia="Times New Roman" w:hAnsi="Times New Roman"/>
        <w:b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