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SCI-033-2004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29 de enero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MBA. José Rafael Hidalgo R. Vicerrector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0"/>
              <w:contextualSpacing w:val="0"/>
              <w:jc w:val="both"/>
            </w:pPr>
            <w:r w:rsidDel="00000000" w:rsidR="00000000" w:rsidRPr="00000000">
              <w:rPr>
                <w:rFonts w:ascii="Arial" w:cs="Arial" w:eastAsia="Arial" w:hAnsi="Arial"/>
                <w:b w:val="1"/>
                <w:sz w:val="20"/>
                <w:szCs w:val="20"/>
                <w:vertAlign w:val="baseline"/>
                <w:rtl w:val="0"/>
              </w:rPr>
              <w:t xml:space="preserve">Licda. Ana Isabel Solano B., MBA., Directora del Departamento Financiero Contable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MBA. José Miguel Solano S., Director del Departamento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Licda. Vilma Gamboa B. Gerente de Área, División de Fiscalización Operativa y Evaluativa, Contraloría General de la República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2337, Artículo 7, del 29 de enero del 2004.  Autorización para la aplicación de la reserva para incremento de salarios período 2004</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22"/>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sz w:val="22"/>
          <w:szCs w:val="22"/>
          <w:vertAlign w:val="baseline"/>
          <w:rtl w:val="0"/>
        </w:rPr>
        <w:t xml:space="preserve">  El Consejo Institucional  en la Sesión No. 2331, Artículo 12C, del 4 de diciembre del 2003, acordó:</w:t>
      </w:r>
      <w:r w:rsidDel="00000000" w:rsidR="00000000" w:rsidRPr="00000000">
        <w:rPr>
          <w:rtl w:val="0"/>
        </w:rPr>
      </w:r>
    </w:p>
    <w:p w:rsidR="00000000" w:rsidDel="00000000" w:rsidP="00000000" w:rsidRDefault="00000000" w:rsidRPr="00000000">
      <w:pPr>
        <w:ind w:left="400" w:firstLine="0"/>
        <w:contextualSpacing w:val="0"/>
        <w:jc w:val="both"/>
      </w:pP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Establecer en el Presupuesto Ordinario 2004, como reserva la diferencia con respecto al Presupuesto aprobado por el Consejo Institucional, en las partidas de Servicios Personales y Transferencias relativas a salarios para un eventual aumento salarial en el 2004.</w:t>
      </w:r>
      <w:r w:rsidDel="00000000" w:rsidR="00000000" w:rsidRPr="00000000">
        <w:rPr>
          <w:rtl w:val="0"/>
        </w:rPr>
      </w:r>
    </w:p>
    <w:p w:rsidR="00000000" w:rsidDel="00000000" w:rsidP="00000000" w:rsidRDefault="00000000" w:rsidRPr="00000000">
      <w:pPr>
        <w:numPr>
          <w:ilvl w:val="0"/>
          <w:numId w:val="1"/>
        </w:numPr>
        <w:ind w:left="720"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Solicitar a la Administración, realizar los ajustes pertinentes en el documento Presupuesto   Ordinario 2004 y comunicar a la Contraloría General de la República, lo que corresponda”.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ind w:left="4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en la Sesión No. 2333 Artículo 2B, del 8 de diciembre del 2003, aprobó:</w:t>
      </w:r>
      <w:r w:rsidDel="00000000" w:rsidR="00000000" w:rsidRPr="00000000">
        <w:rPr>
          <w:rtl w:val="0"/>
        </w:rPr>
      </w:r>
    </w:p>
    <w:p w:rsidR="00000000" w:rsidDel="00000000" w:rsidP="00000000" w:rsidRDefault="00000000" w:rsidRPr="00000000">
      <w:pPr>
        <w:ind w:left="700" w:hanging="30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6"/>
        </w:numPr>
        <w:ind w:left="700" w:hanging="30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Ratificar el siguiente Addendum al Acuerdo Salarial suscrito el día 23 de octubre del 2003,  por la Comisión Negociadora de Salarios ITCR-AFITEC, el cual dice:</w:t>
      </w:r>
      <w:r w:rsidDel="00000000" w:rsidR="00000000" w:rsidRPr="00000000">
        <w:rPr>
          <w:rtl w:val="0"/>
        </w:rPr>
      </w:r>
    </w:p>
    <w:p w:rsidR="00000000" w:rsidDel="00000000" w:rsidP="00000000" w:rsidRDefault="00000000" w:rsidRPr="00000000">
      <w:pPr>
        <w:ind w:left="700" w:hanging="300"/>
        <w:contextualSpacing w:val="0"/>
        <w:jc w:val="both"/>
      </w:pPr>
      <w:r w:rsidDel="00000000" w:rsidR="00000000" w:rsidRPr="00000000">
        <w:rPr>
          <w:rtl w:val="0"/>
        </w:rPr>
      </w:r>
    </w:p>
    <w:p w:rsidR="00000000" w:rsidDel="00000000" w:rsidP="00000000" w:rsidRDefault="00000000" w:rsidRPr="00000000">
      <w:pPr>
        <w:numPr>
          <w:ilvl w:val="0"/>
          <w:numId w:val="7"/>
        </w:numPr>
        <w:ind w:left="1100" w:hanging="400"/>
        <w:jc w:val="both"/>
        <w:rPr/>
      </w:pPr>
      <w:r w:rsidDel="00000000" w:rsidR="00000000" w:rsidRPr="00000000">
        <w:rPr>
          <w:rFonts w:ascii="Arial" w:cs="Arial" w:eastAsia="Arial" w:hAnsi="Arial"/>
          <w:i w:val="1"/>
          <w:sz w:val="20"/>
          <w:szCs w:val="20"/>
          <w:vertAlign w:val="baseline"/>
          <w:rtl w:val="0"/>
        </w:rPr>
        <w:t xml:space="preserve">Si la inflación alcanza el 10%, regirá el acuerdo de Negociación Salarial para el año 2004 pactado y firmado por la Comisión Negociadora de Salarios AFITEC-ITCR, el 23 de octubre del  2003.  </w:t>
      </w:r>
      <w:r w:rsidDel="00000000" w:rsidR="00000000" w:rsidRPr="00000000">
        <w:rPr>
          <w:rtl w:val="0"/>
        </w:rPr>
      </w:r>
    </w:p>
    <w:p w:rsidR="00000000" w:rsidDel="00000000" w:rsidP="00000000" w:rsidRDefault="00000000" w:rsidRPr="00000000">
      <w:pPr>
        <w:ind w:left="700" w:hanging="300"/>
        <w:contextualSpacing w:val="0"/>
        <w:jc w:val="both"/>
      </w:pPr>
      <w:r w:rsidDel="00000000" w:rsidR="00000000" w:rsidRPr="00000000">
        <w:rPr>
          <w:rtl w:val="0"/>
        </w:rPr>
      </w:r>
    </w:p>
    <w:p w:rsidR="00000000" w:rsidDel="00000000" w:rsidP="00000000" w:rsidRDefault="00000000" w:rsidRPr="00000000">
      <w:pPr>
        <w:numPr>
          <w:ilvl w:val="0"/>
          <w:numId w:val="7"/>
        </w:numPr>
        <w:ind w:left="1100" w:hanging="400"/>
        <w:jc w:val="both"/>
        <w:rPr/>
      </w:pPr>
      <w:r w:rsidDel="00000000" w:rsidR="00000000" w:rsidRPr="00000000">
        <w:rPr>
          <w:rFonts w:ascii="Arial" w:cs="Arial" w:eastAsia="Arial" w:hAnsi="Arial"/>
          <w:i w:val="1"/>
          <w:sz w:val="20"/>
          <w:szCs w:val="20"/>
          <w:vertAlign w:val="baseline"/>
          <w:rtl w:val="0"/>
        </w:rPr>
        <w:t xml:space="preserve">Si la inflación es menor al 10% proyectado por el Banco Central, se acuerda lo siguiente:</w:t>
      </w:r>
      <w:r w:rsidDel="00000000" w:rsidR="00000000" w:rsidRPr="00000000">
        <w:rPr>
          <w:rtl w:val="0"/>
        </w:rPr>
      </w:r>
    </w:p>
    <w:p w:rsidR="00000000" w:rsidDel="00000000" w:rsidP="00000000" w:rsidRDefault="00000000" w:rsidRPr="00000000">
      <w:pPr>
        <w:ind w:left="700" w:hanging="300"/>
        <w:contextualSpacing w:val="0"/>
        <w:jc w:val="both"/>
      </w:pPr>
      <w:r w:rsidDel="00000000" w:rsidR="00000000" w:rsidRPr="00000000">
        <w:rPr>
          <w:rtl w:val="0"/>
        </w:rPr>
      </w:r>
    </w:p>
    <w:p w:rsidR="00000000" w:rsidDel="00000000" w:rsidP="00000000" w:rsidRDefault="00000000" w:rsidRPr="00000000">
      <w:pPr>
        <w:numPr>
          <w:ilvl w:val="1"/>
          <w:numId w:val="7"/>
        </w:numPr>
        <w:ind w:left="1400" w:hanging="30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Otorgar un reajuste  salarial del 10% a partir del 1º de enero del 2004, sobre la base de diciembre del 2003.</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2337, Artículo 7, del 29 de enero del 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7"/>
        </w:numPr>
        <w:ind w:left="1400" w:hanging="30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Otorgar un reajuste salarial de medio período de un 0.5% a  partir del 1º de julio del 2004 sobre la base de diciembre del 2003.</w:t>
      </w:r>
      <w:r w:rsidDel="00000000" w:rsidR="00000000" w:rsidRPr="00000000">
        <w:rPr>
          <w:rtl w:val="0"/>
        </w:rPr>
      </w:r>
    </w:p>
    <w:p w:rsidR="00000000" w:rsidDel="00000000" w:rsidP="00000000" w:rsidRDefault="00000000" w:rsidRPr="00000000">
      <w:pPr>
        <w:numPr>
          <w:ilvl w:val="1"/>
          <w:numId w:val="7"/>
        </w:numPr>
        <w:ind w:left="1400" w:hanging="300"/>
        <w:jc w:val="both"/>
        <w:rPr>
          <w:rFonts w:ascii="Arial" w:cs="Arial" w:eastAsia="Arial" w:hAnsi="Arial"/>
          <w:b w:val="0"/>
          <w:i w:val="0"/>
          <w:sz w:val="22"/>
          <w:szCs w:val="22"/>
        </w:rPr>
      </w:pPr>
      <w:r w:rsidDel="00000000" w:rsidR="00000000" w:rsidRPr="00000000">
        <w:rPr>
          <w:rFonts w:ascii="Arial" w:cs="Arial" w:eastAsia="Arial" w:hAnsi="Arial"/>
          <w:i w:val="1"/>
          <w:sz w:val="20"/>
          <w:szCs w:val="20"/>
          <w:vertAlign w:val="baseline"/>
          <w:rtl w:val="0"/>
        </w:rPr>
        <w:t xml:space="preserve">Otorgar un reajuste salarial de medio período de un 1% a partir de julio del 2004 sobre la base de enero del 2004.”</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1200" w:firstLine="0"/>
        <w:contextualSpacing w:val="0"/>
        <w:jc w:val="both"/>
      </w:pPr>
      <w:r w:rsidDel="00000000" w:rsidR="00000000" w:rsidRPr="00000000">
        <w:rPr>
          <w:rtl w:val="0"/>
        </w:rPr>
      </w:r>
    </w:p>
    <w:p w:rsidR="00000000" w:rsidDel="00000000" w:rsidP="00000000" w:rsidRDefault="00000000" w:rsidRPr="00000000">
      <w:pPr>
        <w:numPr>
          <w:ilvl w:val="0"/>
          <w:numId w:val="7"/>
        </w:numPr>
        <w:tabs>
          <w:tab w:val="left" w:pos="0"/>
        </w:tabs>
        <w:spacing w:after="0" w:before="0" w:line="240" w:lineRule="auto"/>
        <w:ind w:left="400" w:right="51" w:hanging="400"/>
        <w:jc w:val="both"/>
        <w:rPr/>
      </w:pPr>
      <w:r w:rsidDel="00000000" w:rsidR="00000000" w:rsidRPr="00000000">
        <w:rPr>
          <w:rFonts w:ascii="Arial" w:cs="Arial" w:eastAsia="Arial" w:hAnsi="Arial"/>
          <w:b w:val="0"/>
          <w:sz w:val="22"/>
          <w:szCs w:val="22"/>
          <w:vertAlign w:val="baseline"/>
          <w:rtl w:val="0"/>
        </w:rPr>
        <w:t xml:space="preserve">La Contraloría General de la República indica en el informe DFOE-EC-45-2003 en el punto 2.1.1. inciso e,  dice lo siguiente:</w:t>
      </w:r>
    </w:p>
    <w:p w:rsidR="00000000" w:rsidDel="00000000" w:rsidP="00000000" w:rsidRDefault="00000000" w:rsidRPr="00000000">
      <w:pPr>
        <w:tabs>
          <w:tab w:val="left" w:pos="400"/>
        </w:tabs>
        <w:ind w:left="40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800" w:right="540" w:hanging="400"/>
        <w:contextualSpacing w:val="0"/>
        <w:jc w:val="both"/>
      </w:pPr>
      <w:r w:rsidDel="00000000" w:rsidR="00000000" w:rsidRPr="00000000">
        <w:rPr>
          <w:rFonts w:ascii="Arial" w:cs="Arial" w:eastAsia="Arial" w:hAnsi="Arial"/>
          <w:b w:val="0"/>
          <w:i w:val="1"/>
          <w:sz w:val="20"/>
          <w:szCs w:val="20"/>
          <w:vertAlign w:val="baseline"/>
          <w:rtl w:val="0"/>
        </w:rPr>
        <w:t xml:space="preserve">e. Se aprueba el contenido presupuestario para 1125 plazas en sueldos fijos, equivalente a 1025.58 tiempos completos y 11 plazas en servicios especiales (4.07tiempos completos) a partir del 1° de enero de 2004.  Al respecto se indica:</w:t>
      </w:r>
    </w:p>
    <w:p w:rsidR="00000000" w:rsidDel="00000000" w:rsidP="00000000" w:rsidRDefault="00000000" w:rsidRPr="00000000">
      <w:pPr>
        <w:ind w:left="360" w:right="540" w:firstLine="0"/>
        <w:contextualSpacing w:val="0"/>
        <w:jc w:val="both"/>
      </w:pPr>
      <w:r w:rsidDel="00000000" w:rsidR="00000000" w:rsidRPr="00000000">
        <w:rPr>
          <w:rtl w:val="0"/>
        </w:rPr>
      </w:r>
    </w:p>
    <w:p w:rsidR="00000000" w:rsidDel="00000000" w:rsidP="00000000" w:rsidRDefault="00000000" w:rsidRPr="00000000">
      <w:pPr>
        <w:numPr>
          <w:ilvl w:val="0"/>
          <w:numId w:val="8"/>
        </w:numPr>
        <w:ind w:left="1100" w:right="540" w:hanging="30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El monto del salario base corresponde a la suma que muestra el índice salarial vigente al 31 de diciembre de 2003, según el acuerdo a.  Del artículo 12C de la sesión N° 2331 del 4 de diciembre de 2003 del Consejo Institucional, en  donde se establece  mantener las base salariales al 31 de diciembre de 2003.  Dicha determinación, también se fundamenta en que el Consejo Institucional, en el artículo 2B de la sesión extraordinaria N° 2333 del 8 de diciembre, ratificó un aumento salarial para el 2004, dependiendo de si el índice de inflación alcanza o no el 10% al finalizar el año 2003.  Situación que no permite conocer con exactitud el monto del reajuste salarial, ya que este dato se conocerá una vez que el Instituto Nacional de Estadística y Censos determine el índice general de precios al consumidor al 31 de diciembre del 2003 (índice de inflación).</w:t>
      </w:r>
      <w:r w:rsidDel="00000000" w:rsidR="00000000" w:rsidRPr="00000000">
        <w:rPr>
          <w:rtl w:val="0"/>
        </w:rPr>
      </w:r>
    </w:p>
    <w:p w:rsidR="00000000" w:rsidDel="00000000" w:rsidP="00000000" w:rsidRDefault="00000000" w:rsidRPr="00000000">
      <w:pPr>
        <w:ind w:left="800" w:right="54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100" w:right="540" w:hanging="300"/>
        <w:contextualSpacing w:val="0"/>
        <w:jc w:val="both"/>
      </w:pPr>
      <w:r w:rsidDel="00000000" w:rsidR="00000000" w:rsidRPr="00000000">
        <w:rPr>
          <w:rFonts w:ascii="Arial" w:cs="Arial" w:eastAsia="Arial" w:hAnsi="Arial"/>
          <w:b w:val="0"/>
          <w:i w:val="1"/>
          <w:sz w:val="20"/>
          <w:szCs w:val="20"/>
          <w:vertAlign w:val="baseline"/>
          <w:rtl w:val="0"/>
        </w:rPr>
        <w:t xml:space="preserve">ii. Dicho contenido presupuestario contempla una reserva para un eventual aumento salarial en el 2004, con base en al acuerdo b. Del artículo 12C antes citado.  Al respecto para poder utilizar esta reserva salarial el Consejo Institucional debe pronunciarse según las opciones consignadas en los puntos 1. y 2. del acuerdo a. Del artículo 2B, de la sesión extraordinaria N° 2333, antes citada, para lo cual deberán realizarse los ajustes al índice salarial y a la relación de puesto.”  </w:t>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hanging="34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El índice General de Precios al Consumidor, al 31 de diciembre del 2003, alcanza un 9.87%, según la certificación emitida por el Instituto Nacional de Estadísticas y Censos (INEC), adjunta a esta carpeta.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400" w:hanging="400"/>
        <w:jc w:val="both"/>
        <w:rPr>
          <w:rFonts w:ascii="Arial" w:cs="Arial" w:eastAsia="Arial" w:hAnsi="Arial"/>
          <w:sz w:val="22"/>
          <w:szCs w:val="22"/>
        </w:rPr>
      </w:pPr>
      <w:r w:rsidDel="00000000" w:rsidR="00000000" w:rsidRPr="00000000">
        <w:rPr>
          <w:rFonts w:ascii="Arial" w:cs="Arial" w:eastAsia="Arial" w:hAnsi="Arial"/>
          <w:b w:val="0"/>
          <w:i w:val="0"/>
          <w:sz w:val="22"/>
          <w:szCs w:val="22"/>
          <w:vertAlign w:val="baseline"/>
          <w:rtl w:val="0"/>
        </w:rPr>
        <w:t xml:space="preserve">En el oficio No. 470 del 19 de enero del 2004, la Contraloría General de la República señala, entre otros, que: “...para disponer formalmente de los recursos de la reserva; principalmente conocer el estudio técnico, presupuestario y financiero en el que se evidencie que existe capacidad económica para atender el ajuste salarial, no solo el impacto en el índice salarial sino en el resto de los pluses salariales”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2337, Artículo 7, del 29 de enero del 2004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keepNext w:val="1"/>
        <w:spacing w:after="0" w:before="0" w:line="240" w:lineRule="auto"/>
        <w:ind w:left="400" w:hanging="400"/>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Consejo Institucional, con fecha 28 de enero del 2004, recibió memorando VAD-044-04, suscrito por el MBA. José Rafael Hidalgo R., Vicerrector de Administración, en el que se adjuntan los informes técnicos del Departamento de Recursos Humanos sobre el efecto presupuestario de aplicar el reajuste salarial acordado en Sesión No. 2333, Articulo 2B, del 8 de diciembre del 2003, concluyéndose que la reserva establecida para aplicar dicho reajuste en los términos planteados es suficiente, tanto para la base salarial como en el resto de los pluses salariales. (Documento adjunto a la carpeta)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0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esta misma Sesión se recibió memorando VAD-045-04, suscrito por el MBA. José Rafael Hidalgo R., Vicerrector de Administración, en el que detalla información sobre el efecto presupuestario en servicios especiales. (Documento adjunto a la carpeta)</w:t>
      </w:r>
      <w:r w:rsidDel="00000000" w:rsidR="00000000" w:rsidRPr="00000000">
        <w:rPr>
          <w:rtl w:val="0"/>
        </w:rPr>
      </w:r>
    </w:p>
    <w:p w:rsidR="00000000" w:rsidDel="00000000" w:rsidP="00000000" w:rsidRDefault="00000000" w:rsidRPr="00000000">
      <w:pPr>
        <w:ind w:left="110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0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Autorizar la aplicación de la reserva para atender los reajustes salariales  para el período 2004-cargos fijos por un monto total de  712,472.4  miles de colones en atención al acuerdo de la Sesión No. 2333, Articulo 2B, del 8 de diciembre del 2003, de la siguiente manera: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8400.0" w:type="dxa"/>
        <w:jc w:val="left"/>
        <w:tblInd w:w="400.0" w:type="dxa"/>
        <w:tblLayout w:type="fixed"/>
        <w:tblLook w:val="0000"/>
      </w:tblPr>
      <w:tblGrid>
        <w:gridCol w:w="2200"/>
        <w:gridCol w:w="800"/>
        <w:gridCol w:w="1100"/>
        <w:gridCol w:w="1100"/>
        <w:gridCol w:w="1000"/>
        <w:gridCol w:w="1100"/>
        <w:gridCol w:w="1100"/>
        <w:tblGridChange w:id="0">
          <w:tblGrid>
            <w:gridCol w:w="2200"/>
            <w:gridCol w:w="800"/>
            <w:gridCol w:w="1100"/>
            <w:gridCol w:w="1100"/>
            <w:gridCol w:w="1000"/>
            <w:gridCol w:w="1100"/>
            <w:gridCol w:w="1100"/>
          </w:tblGrid>
        </w:tblGridChange>
      </w:tblGrid>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 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 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vAlign w:val="center"/>
          </w:tcPr>
          <w:p w:rsidR="00000000" w:rsidDel="00000000" w:rsidP="00000000" w:rsidRDefault="00000000" w:rsidRPr="00000000">
            <w:pPr>
              <w:ind w:left="-18" w:firstLine="0"/>
              <w:contextualSpacing w:val="0"/>
              <w:jc w:val="center"/>
            </w:pPr>
            <w:r w:rsidDel="00000000" w:rsidR="00000000" w:rsidRPr="00000000">
              <w:rPr>
                <w:rFonts w:ascii="Arial" w:cs="Arial" w:eastAsia="Arial" w:hAnsi="Arial"/>
                <w:b w:val="1"/>
                <w:sz w:val="16"/>
                <w:szCs w:val="16"/>
                <w:vertAlign w:val="baseline"/>
                <w:rtl w:val="0"/>
              </w:rPr>
              <w:t xml:space="preserve">PROGRAMA 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 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 5</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Reserva 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728,955.8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158,576.7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393,486.1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59,764.5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45,376.4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71,752.1</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Reajuste salarial del 10% a partir del 01/01/2004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659,328.1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143,405.8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355,978.5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53,998.2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41,049.9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64,895.7</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Reajuste salarial del 0.5% a partir del 01/07/2004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16,483.2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3,585.1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8,899.5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1,350.0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1,026.2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1,622.4</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Reajuste salarial del 1% a partir del 01/07/2004</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36,661.1</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8,000.2</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19,708.6</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3,066.7</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2,274.2</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3,611.5</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Reajustes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712,472.4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154,991.1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384,586.6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58,414.8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44,350.3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70,129.5</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tabs>
          <w:tab w:val="left" w:pos="360"/>
          <w:tab w:val="left" w:pos="900"/>
          <w:tab w:val="left" w:pos="2800"/>
        </w:tabs>
        <w:ind w:left="360" w:firstLine="0"/>
        <w:contextualSpacing w:val="0"/>
        <w:jc w:val="both"/>
      </w:pPr>
      <w:r w:rsidDel="00000000" w:rsidR="00000000" w:rsidRPr="00000000">
        <w:rPr>
          <w:rFonts w:ascii="Arial" w:cs="Arial" w:eastAsia="Arial" w:hAnsi="Arial"/>
          <w:sz w:val="18"/>
          <w:szCs w:val="18"/>
          <w:vertAlign w:val="baseline"/>
          <w:rtl w:val="0"/>
        </w:rPr>
        <w:t xml:space="preserve">Nota:  Los datos están expresados en miles de colones</w:t>
      </w:r>
      <w:r w:rsidDel="00000000" w:rsidR="00000000" w:rsidRPr="00000000">
        <w:rPr>
          <w:rtl w:val="0"/>
        </w:rPr>
      </w:r>
    </w:p>
    <w:p w:rsidR="00000000" w:rsidDel="00000000" w:rsidP="00000000" w:rsidRDefault="00000000" w:rsidRPr="00000000">
      <w:pPr>
        <w:tabs>
          <w:tab w:val="left" w:pos="800"/>
          <w:tab w:val="left" w:pos="900"/>
          <w:tab w:val="left" w:pos="2800"/>
        </w:tabs>
        <w:ind w:left="800" w:firstLine="0"/>
        <w:contextualSpacing w:val="0"/>
        <w:jc w:val="both"/>
      </w:pPr>
      <w:r w:rsidDel="00000000" w:rsidR="00000000" w:rsidRPr="00000000">
        <w:rPr>
          <w:rFonts w:ascii="Arial" w:cs="Arial" w:eastAsia="Arial" w:hAnsi="Arial"/>
          <w:sz w:val="18"/>
          <w:szCs w:val="18"/>
          <w:vertAlign w:val="baseline"/>
          <w:rtl w:val="0"/>
        </w:rPr>
        <w:t xml:space="preserve">  Los Montos incluyen efecto de Treceavo Mes y Cargas Sociales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500"/>
        </w:tabs>
        <w:ind w:left="40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Autorizar la aplicación de la reserva para atender los reajustes salariales  para el período 2004-cargos especiales, por un monto total de  1.057,0  miles de colones, en atención al acuerdo de la Sesión No. 2333, Artículo 2B, del 8 de diciembre del 2003,  de la siguiente manera:</w:t>
      </w:r>
      <w:r w:rsidDel="00000000" w:rsidR="00000000" w:rsidRPr="00000000">
        <w:rPr>
          <w:rtl w:val="0"/>
        </w:rPr>
      </w:r>
    </w:p>
    <w:tbl>
      <w:tblPr>
        <w:tblStyle w:val="Table3"/>
        <w:bidi w:val="0"/>
        <w:tblW w:w="8458.0" w:type="dxa"/>
        <w:jc w:val="left"/>
        <w:tblInd w:w="400.0" w:type="dxa"/>
        <w:tblLayout w:type="fixed"/>
        <w:tblLook w:val="0000"/>
      </w:tblPr>
      <w:tblGrid>
        <w:gridCol w:w="2188"/>
        <w:gridCol w:w="796"/>
        <w:gridCol w:w="1095"/>
        <w:gridCol w:w="1095"/>
        <w:gridCol w:w="1094"/>
        <w:gridCol w:w="1095"/>
        <w:gridCol w:w="1095"/>
        <w:tblGridChange w:id="0">
          <w:tblGrid>
            <w:gridCol w:w="2188"/>
            <w:gridCol w:w="796"/>
            <w:gridCol w:w="1095"/>
            <w:gridCol w:w="1095"/>
            <w:gridCol w:w="1094"/>
            <w:gridCol w:w="1095"/>
            <w:gridCol w:w="1095"/>
          </w:tblGrid>
        </w:tblGridChange>
      </w:tblGrid>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 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 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 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6"/>
                <w:szCs w:val="16"/>
                <w:vertAlign w:val="baseline"/>
                <w:rtl w:val="0"/>
              </w:rPr>
              <w:t xml:space="preserve">PROGRAMA 5</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Fonts w:ascii="Arial" w:cs="Arial" w:eastAsia="Arial" w:hAnsi="Arial"/>
                <w:b w:val="1"/>
                <w:sz w:val="16"/>
                <w:szCs w:val="16"/>
                <w:vertAlign w:val="baseline"/>
                <w:rtl w:val="0"/>
              </w:rPr>
              <w:t xml:space="preserve">Total Reserva Servicios Especiales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sz w:val="16"/>
                <w:szCs w:val="16"/>
                <w:vertAlign w:val="baseline"/>
                <w:rtl w:val="0"/>
              </w:rPr>
              <w:t xml:space="preserve">1,057.0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ind w:right="239"/>
              <w:contextualSpacing w:val="0"/>
              <w:jc w:val="right"/>
            </w:pPr>
            <w:r w:rsidDel="00000000" w:rsidR="00000000" w:rsidRPr="00000000">
              <w:rPr>
                <w:rFonts w:ascii="Arial" w:cs="Arial" w:eastAsia="Arial" w:hAnsi="Arial"/>
                <w:b w:val="1"/>
                <w:sz w:val="16"/>
                <w:szCs w:val="16"/>
                <w:vertAlign w:val="baseline"/>
                <w:rtl w:val="0"/>
              </w:rPr>
              <w:t xml:space="preserve">132.9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ind w:right="239"/>
              <w:contextualSpacing w:val="0"/>
              <w:jc w:val="right"/>
            </w:pPr>
            <w:r w:rsidDel="00000000" w:rsidR="00000000" w:rsidRPr="00000000">
              <w:rPr>
                <w:rFonts w:ascii="Arial" w:cs="Arial" w:eastAsia="Arial" w:hAnsi="Arial"/>
                <w:b w:val="1"/>
                <w:sz w:val="16"/>
                <w:szCs w:val="16"/>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right="268"/>
              <w:contextualSpacing w:val="0"/>
              <w:jc w:val="right"/>
            </w:pPr>
            <w:r w:rsidDel="00000000" w:rsidR="00000000" w:rsidRPr="00000000">
              <w:rPr>
                <w:rFonts w:ascii="Arial" w:cs="Arial" w:eastAsia="Arial" w:hAnsi="Arial"/>
                <w:b w:val="1"/>
                <w:sz w:val="16"/>
                <w:szCs w:val="16"/>
                <w:vertAlign w:val="baseline"/>
                <w:rtl w:val="0"/>
              </w:rPr>
              <w:t xml:space="preserve">701.8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ind w:right="239"/>
              <w:contextualSpacing w:val="0"/>
              <w:jc w:val="right"/>
            </w:pPr>
            <w:r w:rsidDel="00000000" w:rsidR="00000000" w:rsidRPr="00000000">
              <w:rPr>
                <w:rFonts w:ascii="Arial" w:cs="Arial" w:eastAsia="Arial" w:hAnsi="Arial"/>
                <w:b w:val="1"/>
                <w:sz w:val="16"/>
                <w:szCs w:val="16"/>
                <w:vertAlign w:val="baseline"/>
                <w:rtl w:val="0"/>
              </w:rPr>
              <w:t xml:space="preserve">222.3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tabs>
                <w:tab w:val="left" w:pos="1919"/>
              </w:tabs>
              <w:ind w:right="340"/>
              <w:contextualSpacing w:val="0"/>
              <w:jc w:val="right"/>
            </w:pPr>
            <w:r w:rsidDel="00000000" w:rsidR="00000000" w:rsidRPr="00000000">
              <w:rPr>
                <w:rFonts w:ascii="Arial" w:cs="Arial" w:eastAsia="Arial" w:hAnsi="Arial"/>
                <w:b w:val="1"/>
                <w:sz w:val="16"/>
                <w:szCs w:val="16"/>
                <w:vertAlign w:val="baseline"/>
                <w:rtl w:val="0"/>
              </w:rPr>
              <w:t xml:space="preserve">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Reajuste Salarial 10% a partir 01/01/04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1,006.7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ind w:right="239"/>
              <w:contextualSpacing w:val="0"/>
              <w:jc w:val="right"/>
            </w:pPr>
            <w:r w:rsidDel="00000000" w:rsidR="00000000" w:rsidRPr="00000000">
              <w:rPr>
                <w:rFonts w:ascii="Arial" w:cs="Arial" w:eastAsia="Arial" w:hAnsi="Arial"/>
                <w:sz w:val="16"/>
                <w:szCs w:val="16"/>
                <w:vertAlign w:val="baseline"/>
                <w:rtl w:val="0"/>
              </w:rPr>
              <w:t xml:space="preserve">126.6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ind w:right="239"/>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right="268"/>
              <w:contextualSpacing w:val="0"/>
              <w:jc w:val="right"/>
            </w:pPr>
            <w:r w:rsidDel="00000000" w:rsidR="00000000" w:rsidRPr="00000000">
              <w:rPr>
                <w:rFonts w:ascii="Arial" w:cs="Arial" w:eastAsia="Arial" w:hAnsi="Arial"/>
                <w:sz w:val="16"/>
                <w:szCs w:val="16"/>
                <w:vertAlign w:val="baseline"/>
                <w:rtl w:val="0"/>
              </w:rPr>
              <w:t xml:space="preserve">668.4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ind w:right="239"/>
              <w:contextualSpacing w:val="0"/>
              <w:jc w:val="right"/>
            </w:pPr>
            <w:r w:rsidDel="00000000" w:rsidR="00000000" w:rsidRPr="00000000">
              <w:rPr>
                <w:rFonts w:ascii="Arial" w:cs="Arial" w:eastAsia="Arial" w:hAnsi="Arial"/>
                <w:sz w:val="16"/>
                <w:szCs w:val="16"/>
                <w:vertAlign w:val="baseline"/>
                <w:rtl w:val="0"/>
              </w:rPr>
              <w:t xml:space="preserve">211.7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tabs>
                <w:tab w:val="left" w:pos="1919"/>
              </w:tabs>
              <w:ind w:right="340"/>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Reajuste Salarial II Semestre 2004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contextualSpacing w:val="0"/>
              <w:jc w:val="right"/>
            </w:pPr>
            <w:r w:rsidDel="00000000" w:rsidR="00000000" w:rsidRPr="00000000">
              <w:rPr>
                <w:rFonts w:ascii="Arial" w:cs="Arial" w:eastAsia="Arial" w:hAnsi="Arial"/>
                <w:sz w:val="16"/>
                <w:szCs w:val="16"/>
                <w:vertAlign w:val="baseline"/>
                <w:rtl w:val="0"/>
              </w:rPr>
              <w:t xml:space="preserve">50.3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ind w:right="239"/>
              <w:contextualSpacing w:val="0"/>
              <w:jc w:val="right"/>
            </w:pPr>
            <w:r w:rsidDel="00000000" w:rsidR="00000000" w:rsidRPr="00000000">
              <w:rPr>
                <w:rFonts w:ascii="Arial" w:cs="Arial" w:eastAsia="Arial" w:hAnsi="Arial"/>
                <w:sz w:val="16"/>
                <w:szCs w:val="16"/>
                <w:vertAlign w:val="baseline"/>
                <w:rtl w:val="0"/>
              </w:rPr>
              <w:t xml:space="preserve">6.3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ind w:right="239"/>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right="268"/>
              <w:contextualSpacing w:val="0"/>
              <w:jc w:val="right"/>
            </w:pPr>
            <w:r w:rsidDel="00000000" w:rsidR="00000000" w:rsidRPr="00000000">
              <w:rPr>
                <w:rFonts w:ascii="Arial" w:cs="Arial" w:eastAsia="Arial" w:hAnsi="Arial"/>
                <w:sz w:val="16"/>
                <w:szCs w:val="16"/>
                <w:vertAlign w:val="baseline"/>
                <w:rtl w:val="0"/>
              </w:rPr>
              <w:t xml:space="preserve">33.4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ind w:right="239"/>
              <w:contextualSpacing w:val="0"/>
              <w:jc w:val="right"/>
            </w:pPr>
            <w:r w:rsidDel="00000000" w:rsidR="00000000" w:rsidRPr="00000000">
              <w:rPr>
                <w:rFonts w:ascii="Arial" w:cs="Arial" w:eastAsia="Arial" w:hAnsi="Arial"/>
                <w:sz w:val="16"/>
                <w:szCs w:val="16"/>
                <w:vertAlign w:val="baseline"/>
                <w:rtl w:val="0"/>
              </w:rPr>
              <w:t xml:space="preserve">10.6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8.0" w:type="dxa"/>
              <w:left w:w="18.0" w:type="dxa"/>
              <w:right w:w="18.0" w:type="dxa"/>
            </w:tcMar>
          </w:tcPr>
          <w:p w:rsidR="00000000" w:rsidDel="00000000" w:rsidP="00000000" w:rsidRDefault="00000000" w:rsidRPr="00000000">
            <w:pPr>
              <w:tabs>
                <w:tab w:val="left" w:pos="1919"/>
              </w:tabs>
              <w:ind w:right="340"/>
              <w:contextualSpacing w:val="0"/>
              <w:jc w:val="right"/>
            </w:pPr>
            <w:r w:rsidDel="00000000" w:rsidR="00000000" w:rsidRPr="00000000">
              <w:rPr>
                <w:rFonts w:ascii="Arial" w:cs="Arial" w:eastAsia="Arial" w:hAnsi="Arial"/>
                <w:sz w:val="16"/>
                <w:szCs w:val="16"/>
                <w:vertAlign w:val="baseline"/>
                <w:rtl w:val="0"/>
              </w:rPr>
              <w:t xml:space="preserve">0.0</w:t>
            </w:r>
            <w:r w:rsidDel="00000000" w:rsidR="00000000" w:rsidRPr="00000000">
              <w:rPr>
                <w:rtl w:val="0"/>
              </w:rPr>
            </w:r>
          </w:p>
        </w:tc>
      </w:tr>
    </w:tbl>
    <w:p w:rsidR="00000000" w:rsidDel="00000000" w:rsidP="00000000" w:rsidRDefault="00000000" w:rsidRPr="00000000">
      <w:pPr>
        <w:tabs>
          <w:tab w:val="left" w:pos="360"/>
          <w:tab w:val="left" w:pos="900"/>
          <w:tab w:val="left" w:pos="2800"/>
        </w:tabs>
        <w:ind w:left="360" w:firstLine="0"/>
        <w:contextualSpacing w:val="0"/>
        <w:jc w:val="both"/>
      </w:pPr>
      <w:r w:rsidDel="00000000" w:rsidR="00000000" w:rsidRPr="00000000">
        <w:rPr>
          <w:rFonts w:ascii="Arial" w:cs="Arial" w:eastAsia="Arial" w:hAnsi="Arial"/>
          <w:sz w:val="18"/>
          <w:szCs w:val="18"/>
          <w:vertAlign w:val="baseline"/>
          <w:rtl w:val="0"/>
        </w:rPr>
        <w:t xml:space="preserve">Nota:  Los datos están expresados en miles de colones</w:t>
      </w:r>
      <w:r w:rsidDel="00000000" w:rsidR="00000000" w:rsidRPr="00000000">
        <w:rPr>
          <w:rtl w:val="0"/>
        </w:rPr>
      </w:r>
    </w:p>
    <w:p w:rsidR="00000000" w:rsidDel="00000000" w:rsidP="00000000" w:rsidRDefault="00000000" w:rsidRPr="00000000">
      <w:pPr>
        <w:tabs>
          <w:tab w:val="left" w:pos="800"/>
          <w:tab w:val="left" w:pos="900"/>
          <w:tab w:val="left" w:pos="2800"/>
        </w:tabs>
        <w:ind w:left="800" w:firstLine="0"/>
        <w:contextualSpacing w:val="0"/>
        <w:jc w:val="both"/>
      </w:pPr>
      <w:r w:rsidDel="00000000" w:rsidR="00000000" w:rsidRPr="00000000">
        <w:rPr>
          <w:rFonts w:ascii="Arial" w:cs="Arial" w:eastAsia="Arial" w:hAnsi="Arial"/>
          <w:sz w:val="18"/>
          <w:szCs w:val="18"/>
          <w:vertAlign w:val="baseline"/>
          <w:rtl w:val="0"/>
        </w:rPr>
        <w:t xml:space="preserve">  Los Montos incluyen efecto de Treceavo Mes y Cargas Sociales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2337, Artículo 7, del 29 de enero del 2004</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numPr>
          <w:ilvl w:val="0"/>
          <w:numId w:val="4"/>
        </w:numPr>
        <w:ind w:left="40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este acuerdo a la Contraloría  General de la República, con la respectiva modificación de la Relación de Puestos.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400" w:hanging="40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18" w:firstLine="0"/>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ind w:left="-18"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Análisis y Presupuesto </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Estudios y Remuneraciones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lowerLetter"/>
      <w:lvlText w:val="%1."/>
      <w:lvlJc w:val="left"/>
      <w:pPr>
        <w:ind w:left="720" w:firstLine="360"/>
      </w:pPr>
      <w:rPr>
        <w:vertAlign w:val="baseline"/>
      </w:rPr>
    </w:lvl>
    <w:lvl w:ilvl="1">
      <w:start w:val="6"/>
      <w:numFmt w:val="decimal"/>
      <w:lvlText w:val="%2."/>
      <w:lvlJc w:val="left"/>
      <w:pPr>
        <w:ind w:left="153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4"/>
      <w:numFmt w:val="decimal"/>
      <w:lvlText w:val="%1."/>
      <w:lvlJc w:val="left"/>
      <w:pPr>
        <w:ind w:left="1240" w:firstLine="900"/>
      </w:pPr>
      <w:rPr>
        <w:b w:val="1"/>
        <w:i w:val="0"/>
        <w:smallCaps w:val="0"/>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1068" w:firstLine="708"/>
      </w:pPr>
      <w:rPr>
        <w:b w:val="1"/>
        <w:i w:val="0"/>
        <w:vertAlign w:val="baseline"/>
      </w:rPr>
    </w:lvl>
    <w:lvl w:ilvl="1">
      <w:start w:val="1"/>
      <w:numFmt w:val="lowerLetter"/>
      <w:lvlText w:val="%2."/>
      <w:lvlJc w:val="left"/>
      <w:pPr>
        <w:ind w:left="708" w:firstLine="348"/>
      </w:pPr>
      <w:rPr>
        <w:vertAlign w:val="baseline"/>
      </w:rPr>
    </w:lvl>
    <w:lvl w:ilvl="2">
      <w:start w:val="1"/>
      <w:numFmt w:val="lowerRoman"/>
      <w:lvlText w:val="%3."/>
      <w:lvlJc w:val="right"/>
      <w:pPr>
        <w:ind w:left="1428" w:firstLine="1248"/>
      </w:pPr>
      <w:rPr>
        <w:vertAlign w:val="baseline"/>
      </w:rPr>
    </w:lvl>
    <w:lvl w:ilvl="3">
      <w:start w:val="1"/>
      <w:numFmt w:val="decimal"/>
      <w:lvlText w:val="%4."/>
      <w:lvlJc w:val="left"/>
      <w:pPr>
        <w:ind w:left="2148" w:firstLine="1788"/>
      </w:pPr>
      <w:rPr>
        <w:vertAlign w:val="baseline"/>
      </w:rPr>
    </w:lvl>
    <w:lvl w:ilvl="4">
      <w:start w:val="1"/>
      <w:numFmt w:val="lowerLetter"/>
      <w:lvlText w:val="%5."/>
      <w:lvlJc w:val="left"/>
      <w:pPr>
        <w:ind w:left="2868" w:firstLine="2508"/>
      </w:pPr>
      <w:rPr>
        <w:vertAlign w:val="baseline"/>
      </w:rPr>
    </w:lvl>
    <w:lvl w:ilvl="5">
      <w:start w:val="1"/>
      <w:numFmt w:val="lowerRoman"/>
      <w:lvlText w:val="%6."/>
      <w:lvlJc w:val="right"/>
      <w:pPr>
        <w:ind w:left="3588" w:firstLine="3408"/>
      </w:pPr>
      <w:rPr>
        <w:vertAlign w:val="baseline"/>
      </w:rPr>
    </w:lvl>
    <w:lvl w:ilvl="6">
      <w:start w:val="1"/>
      <w:numFmt w:val="decimal"/>
      <w:lvlText w:val="%7."/>
      <w:lvlJc w:val="left"/>
      <w:pPr>
        <w:ind w:left="4308" w:firstLine="3948"/>
      </w:pPr>
      <w:rPr>
        <w:vertAlign w:val="baseline"/>
      </w:rPr>
    </w:lvl>
    <w:lvl w:ilvl="7">
      <w:start w:val="1"/>
      <w:numFmt w:val="lowerLetter"/>
      <w:lvlText w:val="%8."/>
      <w:lvlJc w:val="left"/>
      <w:pPr>
        <w:ind w:left="5028" w:firstLine="4668"/>
      </w:pPr>
      <w:rPr>
        <w:vertAlign w:val="baseline"/>
      </w:rPr>
    </w:lvl>
    <w:lvl w:ilvl="8">
      <w:start w:val="1"/>
      <w:numFmt w:val="lowerRoman"/>
      <w:lvlText w:val="%9."/>
      <w:lvlJc w:val="right"/>
      <w:pPr>
        <w:ind w:left="5748" w:firstLine="5568"/>
      </w:pPr>
      <w:rPr>
        <w:vertAlign w:val="baseline"/>
      </w:rPr>
    </w:lvl>
  </w:abstractNum>
  <w:abstractNum w:abstractNumId="4">
    <w:lvl w:ilvl="0">
      <w:start w:val="2"/>
      <w:numFmt w:val="lowerLetter"/>
      <w:lvlText w:val="%1."/>
      <w:lvlJc w:val="left"/>
      <w:pPr>
        <w:ind w:left="1068" w:firstLine="708"/>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2"/>
      <w:numFmt w:val="decimal"/>
      <w:lvlText w:val="%1."/>
      <w:lvlJc w:val="left"/>
      <w:pPr>
        <w:ind w:left="420" w:firstLine="60"/>
      </w:pPr>
      <w:rPr>
        <w:b w:val="1"/>
        <w:vertAlign w:val="baseline"/>
      </w:rPr>
    </w:lvl>
    <w:lvl w:ilvl="1">
      <w:start w:val="1"/>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6">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3"/>
      <w:numFmt w:val="decimal"/>
      <w:lvlText w:val="%3."/>
      <w:lvlJc w:val="left"/>
      <w:pPr>
        <w:ind w:left="2320" w:firstLine="1980"/>
      </w:pPr>
      <w:rPr>
        <w:b w:val="1"/>
        <w:i w:val="0"/>
        <w:smallCaps w:val="0"/>
        <w:strike w:val="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9"/>
      <w:numFmt w:val="lowerLetter"/>
      <w:lvlText w:val="%1."/>
      <w:lvlJc w:val="left"/>
      <w:pPr>
        <w:ind w:left="2880" w:firstLine="2520"/>
      </w:pPr>
      <w:rPr>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