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SCI-095-2004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16 de febrero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Licda. Ana Isabel Solano B., MBA., Directora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No. 2340, Artículo 4A, del 16 de febrero del 2004.  Liquidación Presupuestaria al 31 de diciembre del 2003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hanging="284"/>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cumplimiento con el Oficio No. 00377 del 28 de enero del 2004 enviado por la Contraloría General de la República, dicha liquidación debe ser presentada al Ente Contralor a más tardar el 16 de febrero del 2004, según lo establece el Artículo 19 de la Ley No. 7428.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09 de febrero del 2004, recibió Oficio V.AD-085-2004, suscrito por el MBA. José Rafael Hidalgo Rojas, Vicerrector de Administración, donde remite documento de la Liquidación Presupuestaria al 31 de diciembre del 2003.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09 de febrero del 2004, según la Minuta 68-04, revisó la Liquidación Presupuestaria 2003 y dispuso elevarla al Consejo Institucional en sesión extraordinaria a realizarse el lunes 16 de febrero del 2004, previo informe de la Auditoría.</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Informe AUDI/AS-005-2004 “Observaciones a la Liquidación Presupuestaria y Evaluación al Plan Anual Operativo al 31 de diciembre del 2003”, del 13 de febrero del 2004, suscrito por la Licda. Adriana Rodríguez Zeledón, Auditora Interna a.i, dirigido al Ing. Rafael Gutiérrez, Coordinador de la Comisión de Planificación y Administración, documento adjunto a la carpeta.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No. 2340, Artículo 4A, del 16 de febrero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Dar por conocida la Liquidación Presupuestaria al 31 de diciembre del 2003, y remitirla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atender las observaciones planteadas por la Auditoría Interna en el Informe AUDI/AS-005-2004.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