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SCI-417-2004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11 de junio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Dr. Luis Gerardo Meza C., Vicerrector de Docencia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Ordinaria No. 2363, Artículo 10, del 11 de junio del 2004. </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sz w:val="20"/>
                <w:szCs w:val="20"/>
                <w:vertAlign w:val="baseline"/>
                <w:rtl w:val="0"/>
              </w:rPr>
              <w:t xml:space="preserve">Día del Profesor del Instituto Tecnológico de Costa Rica</w:t>
            </w:r>
            <w:r w:rsidDel="00000000" w:rsidR="00000000" w:rsidRPr="00000000">
              <w:rPr>
                <w:rFonts w:ascii="Arial" w:cs="Arial" w:eastAsia="Arial" w:hAnsi="Arial"/>
                <w:b w:val="1"/>
                <w:vertAlign w:val="baseline"/>
                <w:rtl w:val="0"/>
              </w:rPr>
              <w:t xml:space="preserve">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ff000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trabajo desarrollado por los profesores constituye la labor central del Instituto Tecnológico de Costa Rica, la que se realiza por medio de la docencia, la investigación y la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ser profesor significa asumir por vocación, uno de los trabajos más nobles que puede ejercer un ciudadano, como lo es el contribuir en la formación de profesionales, que no solo cuenten con los conocimientos y habilidades intrínsecos a su profesión, sino que además, posean los valores éticos que permitan incidir positivamente en la sociedad.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importante establecer en la Institución un día dedicado al profesor, que permita la realización de actividades orientadas a reflexionar acerca del papel que cumplen los académicos del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justo reconocer y valorar en el académico, a la persona digna, que en su relación con los estudiantes, con la comunidad institucional y con la sociedad en general, logra que su labor trascienda en beneficio de nuestro pueblo.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2363, Artículo 10, del 11 de junio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Establecer un día al año dedicado al profesor del Instituto Tecnológico de Costa Rica.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Encargar a la Administración defina la fecha, la calendarice y organice las actividades para conmemorar ese día a partir del año 2005.</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Administración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Oficina de Prensa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pgSz w:h="15840" w:w="12240"/>
      <w:pgMar w:bottom="1701" w:top="1701"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120" w:firstLine="2760"/>
      </w:pPr>
      <w:rPr>
        <w:rFonts w:ascii="Arial" w:cs="Arial" w:eastAsia="Arial" w:hAnsi="Arial"/>
        <w:b w:val="1"/>
        <w:sz w:val="22"/>
        <w:szCs w:val="22"/>
        <w:vertAlign w:val="baseline"/>
      </w:rPr>
    </w:lvl>
    <w:lvl w:ilvl="1">
      <w:start w:val="1"/>
      <w:numFmt w:val="lowerLetter"/>
      <w:lvlText w:val="%2."/>
      <w:lvlJc w:val="left"/>
      <w:pPr>
        <w:ind w:left="3840" w:firstLine="3480"/>
      </w:pPr>
      <w:rPr>
        <w:vertAlign w:val="baseline"/>
      </w:rPr>
    </w:lvl>
    <w:lvl w:ilvl="2">
      <w:start w:val="1"/>
      <w:numFmt w:val="lowerRoman"/>
      <w:lvlText w:val="%3."/>
      <w:lvlJc w:val="right"/>
      <w:pPr>
        <w:ind w:left="4560" w:firstLine="4380"/>
      </w:pPr>
      <w:rPr>
        <w:vertAlign w:val="baseline"/>
      </w:rPr>
    </w:lvl>
    <w:lvl w:ilvl="3">
      <w:start w:val="1"/>
      <w:numFmt w:val="decimal"/>
      <w:lvlText w:val="%4."/>
      <w:lvlJc w:val="left"/>
      <w:pPr>
        <w:ind w:left="5280" w:firstLine="4920"/>
      </w:pPr>
      <w:rPr>
        <w:vertAlign w:val="baseline"/>
      </w:rPr>
    </w:lvl>
    <w:lvl w:ilvl="4">
      <w:start w:val="1"/>
      <w:numFmt w:val="lowerLetter"/>
      <w:lvlText w:val="%5."/>
      <w:lvlJc w:val="left"/>
      <w:pPr>
        <w:ind w:left="6000" w:firstLine="5640"/>
      </w:pPr>
      <w:rPr>
        <w:vertAlign w:val="baseline"/>
      </w:rPr>
    </w:lvl>
    <w:lvl w:ilvl="5">
      <w:start w:val="1"/>
      <w:numFmt w:val="lowerRoman"/>
      <w:lvlText w:val="%6."/>
      <w:lvlJc w:val="right"/>
      <w:pPr>
        <w:ind w:left="6720" w:firstLine="6540"/>
      </w:pPr>
      <w:rPr>
        <w:vertAlign w:val="baseline"/>
      </w:rPr>
    </w:lvl>
    <w:lvl w:ilvl="6">
      <w:start w:val="1"/>
      <w:numFmt w:val="decimal"/>
      <w:lvlText w:val="%7."/>
      <w:lvlJc w:val="left"/>
      <w:pPr>
        <w:ind w:left="7440" w:firstLine="7080"/>
      </w:pPr>
      <w:rPr>
        <w:vertAlign w:val="baseline"/>
      </w:rPr>
    </w:lvl>
    <w:lvl w:ilvl="7">
      <w:start w:val="1"/>
      <w:numFmt w:val="lowerLetter"/>
      <w:lvlText w:val="%8."/>
      <w:lvlJc w:val="left"/>
      <w:pPr>
        <w:ind w:left="8160" w:firstLine="7800"/>
      </w:pPr>
      <w:rPr>
        <w:vertAlign w:val="baseline"/>
      </w:rPr>
    </w:lvl>
    <w:lvl w:ilvl="8">
      <w:start w:val="1"/>
      <w:numFmt w:val="lowerRoman"/>
      <w:lvlText w:val="%9."/>
      <w:lvlJc w:val="right"/>
      <w:pPr>
        <w:ind w:left="8880" w:firstLine="87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