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SCI-488-2004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julio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MSc. Eugenio Trejos B., Rector </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2368, Artículo 11, del 22 de julio del 2004.  Autorización al señor Rector MSc. Eugenio Trejos Benavides, para que participe en el Encuentro Interuniversitario de Cooperación, a realizarse del 26 al 28  de julio del 2004 en la Universidad Nacional Autónoma de Nicaragua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418"/>
        </w:tabs>
        <w:ind w:left="1418" w:hanging="1418"/>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00" w:right="-4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nota de la Rectoría de la Universidad Nacional Autónoma de Nicaragua, en la cual se invita al MSc. Eugenio Trejos Benavides, Rector, para que participe en el Encuentro Interuniversitario de Cooperación, en el marco del Proyecto  de Investigación “Balances y Reflexiones a partir de la experiencia 1988-2002, sobre la cooperación externa, a realizarse en León-Nicaragua del 26 al 28 de julio del 2004.</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400" w:right="-4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citado encuentro cuenta con el respaldo de las autoridades académicas de la UNAN-León y los apoyos de la Universidad de Alcalá UA y de la Escuela de Ciencias Sociales del Instituto Tecnológico de Costa Rica.  Dentro de este contexto los gastos por concepto de pasajes aéreos corren por cuenta de la Universidad de Alcalá UA y el hospedaje por cuenta de la UNAN-León.</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400" w:right="-4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de la Escuela de Ciencias Sociales del Instituto Tecnológico de Costa Rica, en su Sesión No. 16, del 11 de diciembre del 2002 acordó: “Colaborar en el proyecto citado, que servirá de puente  para estrechar las relaciones entre Costa Rica y Nicaragua. Asimismo, acordó designar al Máster Trejos Benavides como representante de dicha Escuela ante ese proyecto.”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2368, Artículo 11, del 22 de julio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400" w:right="-4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Instituto Tecnológico de Costa Rica el 1 de agosto de 2002, suscribió un Convenio Marco UAH–ITCR, el cual fue ratificado por el Dr. Manuel Gala, por el Rector de la UAH, </w:t>
      </w:r>
      <w:r w:rsidDel="00000000" w:rsidR="00000000" w:rsidRPr="00000000">
        <w:rPr>
          <w:rFonts w:ascii="Arial" w:cs="Arial" w:eastAsia="Arial" w:hAnsi="Arial"/>
          <w:vertAlign w:val="baseline"/>
          <w:rtl w:val="0"/>
        </w:rPr>
        <w:t xml:space="preserve">en el que se explicita el interés mutuo de favorecer acciones en las que participe la UNAN–León de Nicaragua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ind w:left="400" w:right="-4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visita del señor Rector a la Universidad UNAN-León Nicaragua es de carácter académica, dado que participará dictando la conferencia denominada “Experiencia de la Universidad Pública de Costa Rica como agente de Desarrollo del país” y es  de interés del Instituto Tecnológico de Costa Rica desarrollar proyectos de cooperación entre ambas instituciones, así como consolidar su relación con la UNAN y familiarizar con su quehacer y misión.</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400" w:right="-4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Autorizar la participación del MSc. Eugenio Trejos Benavides, Rector del Instituto Tecnológico de Costa Rica, en el Encuentro Interuniversitario de Cooperación, a celebrarse en la Universidad UNAN-León Nicaragua, durante el período comprendido del 26 al 28 de julio del 2004.</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1"/>
        </w:numPr>
        <w:ind w:left="400" w:right="-4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Otorgar el pago correspondiente a póliza de viaje, viáticos de ley por tres días a saber del 26 al 28 de julio del 2004.</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400" w:right="-40" w:hanging="40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3" w:firstLine="1160.0000000000002"/>
      </w:pPr>
      <w:rPr>
        <w:b w:val="1"/>
        <w:i w:val="0"/>
        <w:sz w:val="22"/>
        <w:szCs w:val="22"/>
        <w:vertAlign w:val="baseline"/>
      </w:rPr>
    </w:lvl>
    <w:lvl w:ilvl="1">
      <w:start w:val="1"/>
      <w:numFmt w:val="lowerLetter"/>
      <w:lvlText w:val="%2."/>
      <w:lvlJc w:val="left"/>
      <w:pPr>
        <w:ind w:left="2240" w:firstLine="1880"/>
      </w:pPr>
      <w:rPr>
        <w:vertAlign w:val="baseline"/>
      </w:rPr>
    </w:lvl>
    <w:lvl w:ilvl="2">
      <w:start w:val="1"/>
      <w:numFmt w:val="lowerRoman"/>
      <w:lvlText w:val="%3."/>
      <w:lvlJc w:val="right"/>
      <w:pPr>
        <w:ind w:left="2960" w:firstLine="2780"/>
      </w:pPr>
      <w:rPr>
        <w:vertAlign w:val="baseline"/>
      </w:rPr>
    </w:lvl>
    <w:lvl w:ilvl="3">
      <w:start w:val="1"/>
      <w:numFmt w:val="decimal"/>
      <w:lvlText w:val="%4."/>
      <w:lvlJc w:val="left"/>
      <w:pPr>
        <w:ind w:left="3680" w:firstLine="3320"/>
      </w:pPr>
      <w:rPr>
        <w:vertAlign w:val="baseline"/>
      </w:rPr>
    </w:lvl>
    <w:lvl w:ilvl="4">
      <w:start w:val="1"/>
      <w:numFmt w:val="lowerLetter"/>
      <w:lvlText w:val="%5."/>
      <w:lvlJc w:val="left"/>
      <w:pPr>
        <w:ind w:left="4400" w:firstLine="4040"/>
      </w:pPr>
      <w:rPr>
        <w:vertAlign w:val="baseline"/>
      </w:rPr>
    </w:lvl>
    <w:lvl w:ilvl="5">
      <w:start w:val="1"/>
      <w:numFmt w:val="lowerRoman"/>
      <w:lvlText w:val="%6."/>
      <w:lvlJc w:val="right"/>
      <w:pPr>
        <w:ind w:left="5120" w:firstLine="4940"/>
      </w:pPr>
      <w:rPr>
        <w:vertAlign w:val="baseline"/>
      </w:rPr>
    </w:lvl>
    <w:lvl w:ilvl="6">
      <w:start w:val="1"/>
      <w:numFmt w:val="decimal"/>
      <w:lvlText w:val="%7."/>
      <w:lvlJc w:val="left"/>
      <w:pPr>
        <w:ind w:left="5840" w:firstLine="5480"/>
      </w:pPr>
      <w:rPr>
        <w:vertAlign w:val="baseline"/>
      </w:rPr>
    </w:lvl>
    <w:lvl w:ilvl="7">
      <w:start w:val="1"/>
      <w:numFmt w:val="lowerLetter"/>
      <w:lvlText w:val="%8."/>
      <w:lvlJc w:val="left"/>
      <w:pPr>
        <w:ind w:left="6560" w:firstLine="6200"/>
      </w:pPr>
      <w:rPr>
        <w:vertAlign w:val="baseline"/>
      </w:rPr>
    </w:lvl>
    <w:lvl w:ilvl="8">
      <w:start w:val="1"/>
      <w:numFmt w:val="lowerRoman"/>
      <w:lvlText w:val="%9."/>
      <w:lvlJc w:val="right"/>
      <w:pPr>
        <w:ind w:left="7280" w:firstLine="71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