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SCI-501-2004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julio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Dr. Luis Gerardo Meza C., Vicerrector de Docencia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Dr. Juan Fernando Álvarez C., Vicerrector de Investigación y Extensión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Jeannette Barrantes M., Vicerrector de Vida Estudiantil y Servicios Académicos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Bernal Martínez G., Director de la Sede Regional San Carlos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M.A.Ed., Antonio Fornaguera T., Director Centro Académico de San José</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2369, Artículo 12, del 29 de julio del 2004.  Autoevaluación Institucional “Grado de cumplimiento de los aspectos mínimos de Control Interno”</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Asamblea Legislativa aprobó la Ley Nº 8292, denominada “Ley General de Control Interno”, publicada en el Diario Oficial La Gaceta No. 169,  del 4 de setiembre del 2002.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Contraloría General de la República publicó en el Diario Oficial La Gaceta No. 107, del 5 de junio de 2002, el documento M-1-2002-CO-DDI denominado “Manual de Normas Generales de Control Interno para la Contraloría General de la República y las entidades y órganos sujetos a su fiscalización”.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Consejo Institucional el 21 de mayo del 2003, recibió Oficio 05220, de la Contraloría General de la República, en el cual indica la necesidad de que se “desarrollen y presentan al jerarca de sus organizaciones, para el análisis y autorización respectiva, una estrategia y plan debidamente coordinado para llevar a cabo la autoevaluación de la Institución”.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En la Sesión Ordinaria No 2350, Artículo 14, del 15 de abril del 2004, el Consejo Institucional acordó:</w:t>
      </w:r>
      <w:r w:rsidDel="00000000" w:rsidR="00000000" w:rsidRPr="00000000">
        <w:rPr>
          <w:rtl w:val="0"/>
        </w:rPr>
      </w:r>
    </w:p>
    <w:p w:rsidR="00000000" w:rsidDel="00000000" w:rsidP="00000000" w:rsidRDefault="00000000" w:rsidRPr="00000000">
      <w:pPr>
        <w:spacing w:before="120" w:lineRule="auto"/>
        <w:ind w:left="900" w:hanging="540"/>
        <w:contextualSpacing w:val="0"/>
        <w:jc w:val="both"/>
      </w:pPr>
      <w:r w:rsidDel="00000000" w:rsidR="00000000" w:rsidRPr="00000000">
        <w:rPr>
          <w:rFonts w:ascii="Arial" w:cs="Arial" w:eastAsia="Arial" w:hAnsi="Arial"/>
          <w:sz w:val="22"/>
          <w:szCs w:val="22"/>
          <w:vertAlign w:val="baseline"/>
          <w:rtl w:val="0"/>
        </w:rPr>
        <w:t xml:space="preserve">“ a). </w:t>
        <w:tab/>
        <w:t xml:space="preserve">Aprobar la revisión, adaptación y aplicación de las guías propuestas por la Contraloría General de la República, para que se realice a la mayor brevedad la Autoevaluación del Control Interno, que exige la Ley No 8292, Ley General de Control Interno, asignando como responsable técnico del proceso a la Oficina de Planificación Institucional. </w:t>
      </w:r>
      <w:r w:rsidDel="00000000" w:rsidR="00000000" w:rsidRPr="00000000">
        <w:rPr>
          <w:rtl w:val="0"/>
        </w:rPr>
      </w:r>
    </w:p>
    <w:p w:rsidR="00000000" w:rsidDel="00000000" w:rsidP="00000000" w:rsidRDefault="00000000" w:rsidRPr="00000000">
      <w:pPr>
        <w:spacing w:before="120" w:lineRule="auto"/>
        <w:ind w:left="900" w:hanging="540"/>
        <w:contextualSpacing w:val="0"/>
        <w:jc w:val="both"/>
      </w:pPr>
      <w:r w:rsidDel="00000000" w:rsidR="00000000" w:rsidRPr="00000000">
        <w:rPr>
          <w:rFonts w:ascii="Arial" w:cs="Arial" w:eastAsia="Arial" w:hAnsi="Arial"/>
          <w:sz w:val="22"/>
          <w:szCs w:val="22"/>
          <w:vertAlign w:val="baseline"/>
          <w:rtl w:val="0"/>
        </w:rPr>
        <w:t xml:space="preserve">   b). </w:t>
        <w:tab/>
        <w:t xml:space="preserve">Continuar con la elaboración del Diagnóstico de la Situación Actual del Sistema de Control Interno del Instituto Tecnológico de Costa Rica, según la metodología y procedimientos dictados por la Oficina de Planificación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2369, Artículo 12, del 29 de julio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before="120" w:lineRule="auto"/>
        <w:ind w:left="900" w:hanging="540"/>
        <w:contextualSpacing w:val="0"/>
        <w:jc w:val="both"/>
      </w:pPr>
      <w:r w:rsidDel="00000000" w:rsidR="00000000" w:rsidRPr="00000000">
        <w:rPr>
          <w:rtl w:val="0"/>
        </w:rPr>
      </w:r>
    </w:p>
    <w:p w:rsidR="00000000" w:rsidDel="00000000" w:rsidP="00000000" w:rsidRDefault="00000000" w:rsidRPr="00000000">
      <w:pPr>
        <w:spacing w:before="120" w:lineRule="auto"/>
        <w:ind w:left="900" w:hanging="360"/>
        <w:contextualSpacing w:val="0"/>
        <w:jc w:val="both"/>
      </w:pPr>
      <w:r w:rsidDel="00000000" w:rsidR="00000000" w:rsidRPr="00000000">
        <w:rPr>
          <w:rFonts w:ascii="Arial" w:cs="Arial" w:eastAsia="Arial" w:hAnsi="Arial"/>
          <w:sz w:val="22"/>
          <w:szCs w:val="22"/>
          <w:vertAlign w:val="baseline"/>
          <w:rtl w:val="0"/>
        </w:rPr>
        <w:t xml:space="preserve">c).</w:t>
        <w:tab/>
        <w:t xml:space="preserve">Indicar a la Oficina de Planificación Institucional, que los temas relacionados con Autoevaluación y Diagnóstico del Sistema de Control Interno de la Institución, son temas prioritarios dentro de la actividad de Planificación Institucional.”</w:t>
      </w:r>
      <w:r w:rsidDel="00000000" w:rsidR="00000000" w:rsidRPr="00000000">
        <w:rPr>
          <w:rtl w:val="0"/>
        </w:rPr>
      </w:r>
    </w:p>
    <w:p w:rsidR="00000000" w:rsidDel="00000000" w:rsidP="00000000" w:rsidRDefault="00000000" w:rsidRPr="00000000">
      <w:pPr>
        <w:ind w:left="90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Oficina de Planificación Institucional realizó la Autoevaluación Institucional durante los meses de abril y mayo del 2004</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Oficina de Planificación Institucional presentó al Consejo Institucional el informe de la autoevaluación en el mes de junio del presente año  con el título “Grado de cumplimiento de los aspectos mínimos de control interno”.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Consejo Institucional conoció y analizó el informe en la Sesión No. 2369,  Artículo 12, del  29 de julio de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Aprobar el Informe de Autoevaluación institucional “Grado de cumplimiento de los aspectos mínimos de Control Interno”, presentado por la Oficina de Planificación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Enviar a la Contraloría General de la República una copia del Informe.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Instruir a la Administración poner en ejecución las recomendaciones del documento “Grado de cumplimiento de los aspectos mínimos de Control Interno”.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Solicitar a la Administración informar a todas las instancias involucradas los resultados de la Autoevaluación del Sistema de Control Interno en Operación en cumplimiento del Artículo 17 de la Ley General de Control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643"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