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SCI-591-2004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26 de agosto del 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MSc. Eugenio Trejos B., Rector y Presidente del Consejo Institucional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Miembros(as) del Consejo Institucional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Licda. Bertalía Sánchez S., Directora Ejecutiva de la Secretaría 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Ordinaria No. 2374, Artículo 16, del 26 de agosto del 2004.  Declaratoria de carácter permanente, la Sesión No. 2374 del Consejo Institucional iniciada el día jueves 26 de agosto del 2004.</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i w:val="0"/>
          <w:sz w:val="24"/>
          <w:szCs w:val="24"/>
          <w:vertAlign w:val="baseline"/>
          <w:rtl w:val="0"/>
        </w:rPr>
        <w:t xml:space="preserve">Para los fines correspondientes se transcribe el acuerdo citado en la referencia, el cual dice:</w:t>
      </w:r>
    </w:p>
    <w:p w:rsidR="00000000" w:rsidDel="00000000" w:rsidP="00000000" w:rsidRDefault="00000000" w:rsidRPr="00000000">
      <w:pPr>
        <w:tabs>
          <w:tab w:val="left" w:pos="1418"/>
        </w:tabs>
        <w:ind w:left="1418" w:hanging="1418"/>
        <w:contextualSpacing w:val="0"/>
        <w:jc w:val="both"/>
      </w:pPr>
      <w:r w:rsidDel="00000000" w:rsidR="00000000" w:rsidRPr="00000000">
        <w:rPr>
          <w:rtl w:val="0"/>
        </w:rPr>
      </w:r>
    </w:p>
    <w:p w:rsidR="00000000" w:rsidDel="00000000" w:rsidP="00000000" w:rsidRDefault="00000000" w:rsidRPr="00000000">
      <w:pPr>
        <w:tabs>
          <w:tab w:val="left" w:pos="1418"/>
        </w:tabs>
        <w:ind w:left="1418" w:hanging="1418"/>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La situación de crisis social por la que atraviesa el país  y las negociaciones entre los entes gubernamentales y las organizaciones sociales, se mantienen sin ningún avance.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La Asociación de Funcionarios del Tecnológico y la Federación de Estudiantes del Tecnológico, en Asamblea Ampliada, celebrada el día jueves 26 de agosto del 2004, a las   9:30  a.m., frente al Afiteatro; acordó decretar PARO INDEFINIDO con presencia en la Institución, hasta tanto no se resuelvan los problemas que vive el país, a fin de que tanto los funcionarios como los estudiantes participen en las actividades de apoyo que se convoquen, tanto a nivel interno como externo.</w:t>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El Consejo Institucional en la presente Sesión se pronunció en torno a la problemática que amenaza al país en términos generales y acordó, en lo conducente, lo siguiente: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18"/>
          <w:szCs w:val="18"/>
          <w:vertAlign w:val="baseline"/>
          <w:rtl w:val="0"/>
        </w:rPr>
        <w:t xml:space="preserve">“a…</w:t>
      </w:r>
      <w:r w:rsidDel="00000000" w:rsidR="00000000" w:rsidRPr="00000000">
        <w:rPr>
          <w:rtl w:val="0"/>
        </w:rPr>
      </w:r>
    </w:p>
    <w:p w:rsidR="00000000" w:rsidDel="00000000" w:rsidP="00000000" w:rsidRDefault="00000000" w:rsidRPr="00000000">
      <w:pPr>
        <w:numPr>
          <w:ilvl w:val="0"/>
          <w:numId w:val="1"/>
        </w:numPr>
        <w:tabs>
          <w:tab w:val="left" w:pos="1080"/>
        </w:tabs>
        <w:ind w:left="1113" w:right="404" w:hanging="36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Respaldar la participación de la comunidad institucional en las actividades  pacíficas en defensa de los derechos humanos, constitucionales y laborales.</w:t>
      </w:r>
      <w:r w:rsidDel="00000000" w:rsidR="00000000" w:rsidRPr="00000000">
        <w:rPr>
          <w:rtl w:val="0"/>
        </w:rPr>
      </w:r>
    </w:p>
    <w:p w:rsidR="00000000" w:rsidDel="00000000" w:rsidP="00000000" w:rsidRDefault="00000000" w:rsidRPr="00000000">
      <w:pPr>
        <w:numPr>
          <w:ilvl w:val="0"/>
          <w:numId w:val="1"/>
        </w:numPr>
        <w:tabs>
          <w:tab w:val="left" w:pos="1080"/>
        </w:tabs>
        <w:ind w:left="1113" w:right="404" w:hanging="36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2"/>
        </w:numPr>
        <w:ind w:left="360" w:hanging="360"/>
        <w:jc w:val="both"/>
        <w:rPr/>
      </w:pPr>
      <w:r w:rsidDel="00000000" w:rsidR="00000000" w:rsidRPr="00000000">
        <w:rPr>
          <w:rFonts w:ascii="Arial" w:cs="Arial" w:eastAsia="Arial" w:hAnsi="Arial"/>
          <w:sz w:val="22"/>
          <w:szCs w:val="22"/>
          <w:vertAlign w:val="baseline"/>
          <w:rtl w:val="0"/>
        </w:rPr>
        <w:t xml:space="preserve">Declarar de carácter permanente, la Sesión Ordinaria No. 2374 del Consejo Institucional, iniciada el  26 de agosto del 2004,  hasta que disponga lo contrario, como medida cautelar, ante la declaratoria de paro indefinido acordado por la AFITEC-FEITEC, en Asamblea Ampliada; con el propósito de flexibilizar la convocatoria de sus integrantes, en caso de que sea necesario tomar  una decisión al respecto.</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Ordinaria No. 2374, Artículo 16, del 26 de agosto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Página 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2"/>
        </w:numPr>
        <w:ind w:left="360" w:hanging="360"/>
        <w:jc w:val="both"/>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16"/>
          <w:szCs w:val="16"/>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headerReference r:id="rId5" w:type="default"/>
      <w:pgSz w:h="16838" w:w="11906"/>
      <w:pgMar w:bottom="1701" w:top="1701"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09" w:line="240" w:lineRule="auto"/>
      <w:contextualSpacing w:val="0"/>
      <w:jc w:val="right"/>
    </w:pPr>
    <w:r w:rsidDel="00000000" w:rsidR="00000000" w:rsidRPr="00000000">
      <w:rPr>
        <w:rFonts w:ascii="Arial" w:cs="Arial" w:eastAsia="Arial" w:hAnsi="Arial"/>
        <w:b w:val="1"/>
        <w:i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8"/>
        <w:szCs w:val="18"/>
        <w:vertAlign w:val="baseline"/>
        <w:rtl w:val="0"/>
      </w:rPr>
      <w:t xml:space="preserve">Ext. 2217-2239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7"/>
      <w:numFmt w:val="lowerLetter"/>
      <w:lvlText w:val="%1."/>
      <w:lvlJc w:val="left"/>
      <w:pPr>
        <w:ind w:left="1113" w:firstLine="753"/>
      </w:pPr>
      <w:rPr>
        <w:vertAlign w:val="baseline"/>
      </w:rPr>
    </w:lvl>
    <w:lvl w:ilvl="1">
      <w:start w:val="1"/>
      <w:numFmt w:val="lowerLetter"/>
      <w:lvlText w:val="%2."/>
      <w:lvlJc w:val="left"/>
      <w:pPr>
        <w:ind w:left="1833" w:firstLine="1473"/>
      </w:pPr>
      <w:rPr>
        <w:vertAlign w:val="baseline"/>
      </w:rPr>
    </w:lvl>
    <w:lvl w:ilvl="2">
      <w:start w:val="1"/>
      <w:numFmt w:val="lowerRoman"/>
      <w:lvlText w:val="%3."/>
      <w:lvlJc w:val="right"/>
      <w:pPr>
        <w:ind w:left="2553" w:firstLine="2373"/>
      </w:pPr>
      <w:rPr>
        <w:vertAlign w:val="baseline"/>
      </w:rPr>
    </w:lvl>
    <w:lvl w:ilvl="3">
      <w:start w:val="1"/>
      <w:numFmt w:val="decimal"/>
      <w:lvlText w:val="%4."/>
      <w:lvlJc w:val="left"/>
      <w:pPr>
        <w:ind w:left="3273" w:firstLine="2913"/>
      </w:pPr>
      <w:rPr>
        <w:vertAlign w:val="baseline"/>
      </w:rPr>
    </w:lvl>
    <w:lvl w:ilvl="4">
      <w:start w:val="1"/>
      <w:numFmt w:val="lowerLetter"/>
      <w:lvlText w:val="%5."/>
      <w:lvlJc w:val="left"/>
      <w:pPr>
        <w:ind w:left="3993" w:firstLine="3633"/>
      </w:pPr>
      <w:rPr>
        <w:vertAlign w:val="baseline"/>
      </w:rPr>
    </w:lvl>
    <w:lvl w:ilvl="5">
      <w:start w:val="1"/>
      <w:numFmt w:val="lowerRoman"/>
      <w:lvlText w:val="%6."/>
      <w:lvlJc w:val="right"/>
      <w:pPr>
        <w:ind w:left="4713" w:firstLine="4533"/>
      </w:pPr>
      <w:rPr>
        <w:vertAlign w:val="baseline"/>
      </w:rPr>
    </w:lvl>
    <w:lvl w:ilvl="6">
      <w:start w:val="1"/>
      <w:numFmt w:val="decimal"/>
      <w:lvlText w:val="%7."/>
      <w:lvlJc w:val="left"/>
      <w:pPr>
        <w:ind w:left="5433" w:firstLine="5073"/>
      </w:pPr>
      <w:rPr>
        <w:vertAlign w:val="baseline"/>
      </w:rPr>
    </w:lvl>
    <w:lvl w:ilvl="7">
      <w:start w:val="1"/>
      <w:numFmt w:val="lowerLetter"/>
      <w:lvlText w:val="%8."/>
      <w:lvlJc w:val="left"/>
      <w:pPr>
        <w:ind w:left="6153" w:firstLine="5793"/>
      </w:pPr>
      <w:rPr>
        <w:vertAlign w:val="baseline"/>
      </w:rPr>
    </w:lvl>
    <w:lvl w:ilvl="8">
      <w:start w:val="1"/>
      <w:numFmt w:val="lowerRoman"/>
      <w:lvlText w:val="%9."/>
      <w:lvlJc w:val="right"/>
      <w:pPr>
        <w:ind w:left="6873" w:firstLine="6693"/>
      </w:pPr>
      <w:rPr>
        <w:vertAlign w:val="baseline"/>
      </w:rPr>
    </w:lvl>
  </w:abstractNum>
  <w:abstractNum w:abstractNumId="2">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363" w:firstLine="1080.0000000000002"/>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