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SCI-610-2004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 de setiembre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710.0" w:type="dxa"/>
        <w:jc w:val="left"/>
        <w:tblInd w:w="-70.0" w:type="dxa"/>
        <w:tblLayout w:type="fixed"/>
        <w:tblLook w:val="0000"/>
      </w:tblPr>
      <w:tblGrid>
        <w:gridCol w:w="1346"/>
        <w:gridCol w:w="7364"/>
        <w:tblGridChange w:id="0">
          <w:tblGrid>
            <w:gridCol w:w="1346"/>
            <w:gridCol w:w="73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 Elías Calderón O.,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Vilma Gamboa B., Gerente de Área de la División de Fiscalización Operativa y Evaluativa, Contraloría General de la República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2375, Artículo 13, del 2 de setiembre del 2004.  Atención Informe DFOE-EC-22/2004 sobre liquidación del presupuesto del año 2003 del Instituto Tecnológico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540"/>
        </w:tabs>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No. 2340, Artículo 4A, del 16 de febrero del 2004, acordó: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0"/>
          <w:szCs w:val="20"/>
          <w:vertAlign w:val="baseline"/>
          <w:rtl w:val="0"/>
        </w:rPr>
        <w:t xml:space="preserve">“a.  Dar por conocida la Liquidación Presupuestaria al 31 de diciembre del 2003, y remitirla a la Contraloría General de la República.</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0"/>
          <w:i w:val="1"/>
          <w:sz w:val="20"/>
          <w:szCs w:val="20"/>
          <w:vertAlign w:val="baseline"/>
          <w:rtl w:val="0"/>
        </w:rPr>
        <w:t xml:space="preserve">b. Solicitar a la Administración atender las observaciones planteadas por la Auditoría    Interna en el Informe AUDI/AS-005-2004.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hanging="207.00000000000003"/>
        <w:contextualSpacing w:val="0"/>
        <w:jc w:val="both"/>
      </w:pPr>
      <w:r w:rsidDel="00000000" w:rsidR="00000000" w:rsidRPr="00000000">
        <w:rPr>
          <w:rFonts w:ascii="Arial" w:cs="Arial" w:eastAsia="Arial" w:hAnsi="Arial"/>
          <w:i w:val="1"/>
          <w:sz w:val="20"/>
          <w:szCs w:val="20"/>
          <w:vertAlign w:val="baseline"/>
          <w:rtl w:val="0"/>
        </w:rPr>
        <w:t xml:space="preserve">c.  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FOE-EC-368, con fecha 23 de agosto del 2004, suscrito por la Licda. Vilma Gamboa Bolaños, Gerente de Área de la Contraloría General de la República, dirigido al MSc. Eugenio Trejos, Rector y Presidente del Consejo Institucional, en el cual remite el informe DFOE-EC-22/2004 sobre liquidación del presupuesto del año 2003 del Instituto Tecnológico de Costa Rica, el cual consigna aspectos referentes a la liquidación del presupuesto, correspondiente al año 2003.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la Sesión Ordinaria No. 2374, celebrada el 26 de agosto del 2004, se trasladó el Informe citado a la Comisión de Planificación y Administración, para lo correspondiente.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2375, Artículo 13, del 2 de setiembre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AUDI-182-04, con fecha 30 de agosto del 2004, suscrito por el Lic. Isidro Álvarez Salazar, Auditor Interno, dirigido al Ing. Rafael Gutiérrez, Coordinador de la Comisión de Planificación y Administración, en el cual remite el informe AUDI/AS-031-2004 “Observaciones preliminares al Oficio Nº 9445 (FOE-EC-368) remisión del informe DFOE-EC-22/2004 sobre los resultados de la Liquidación del Presupuesto del Instituto Tecnológico de Costa Rica del año 2003, realizado por la Contraloría General de la República”, en atención a las disposiciones emitidas por el Ente Contralor a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30 de agosto del 2004, según consta en la Minuta No. 90-2004, conoció acerca de los resultados expuestos en el informe DFOE-EC-22/2004, sobre liquidación del presupuesto del año 2003 del Instituto Tecnológico de Costa Rica y atendiendo las disposiciones dirigidas tanto al Presidente del Consejo Institucional, como al señor Rector, en los apartados 4.1 y 4.2, dispuso elevar la siguiente propuesta al pleno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Solicitar al Rector acatar las disposiciones emitidas en los puntos  4.1 y 4.2, del Informe DFOE-EC-22/2004, remitido por la Contraloría General de la República, dirigidas al Presidente del Consejo Institucional y al Rector, sobre liquidación del presupuesto correspondiente al ejercicio económico del año 2003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Informar al Consejo Institucional, acerca de las instrucciones giradas para que se atiendan las disposiciones contenidas en el citado informe, en el plazo señalado por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136"/>
      <w:contextualSpacing w:val="0"/>
    </w:pPr>
    <w:r w:rsidDel="00000000" w:rsidR="00000000" w:rsidRPr="00000000">
      <w:drawing>
        <wp:inline distB="0" distT="0" distL="114300" distR="114300">
          <wp:extent cx="54908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4908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363" w:firstLine="1080.0000000000002"/>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