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b w:val="1"/>
          <w:i w:val="0"/>
          <w:sz w:val="28"/>
          <w:szCs w:val="28"/>
          <w:vertAlign w:val="baseline"/>
          <w:rtl w:val="0"/>
        </w:rPr>
        <w:t xml:space="preserve">COMUNICACIÓN DE ACUERDO</w:t>
      </w:r>
      <w:r w:rsidDel="00000000" w:rsidR="00000000" w:rsidRPr="00000000">
        <w:rPr>
          <w:b w:val="1"/>
          <w:i w:val="0"/>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b w:val="1"/>
          <w:i w:val="0"/>
          <w:sz w:val="20"/>
          <w:szCs w:val="20"/>
          <w:vertAlign w:val="baseline"/>
          <w:rtl w:val="0"/>
        </w:rPr>
        <w:t xml:space="preserve">SCI-665-2004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b w:val="1"/>
          <w:i w:val="0"/>
          <w:sz w:val="20"/>
          <w:szCs w:val="20"/>
          <w:vertAlign w:val="baseline"/>
          <w:rtl w:val="0"/>
        </w:rPr>
        <w:t xml:space="preserve">9 de setiembre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i w:val="0"/>
                <w:sz w:val="20"/>
                <w:szCs w:val="20"/>
                <w:vertAlign w:val="baseline"/>
                <w:rtl w:val="0"/>
              </w:rPr>
              <w:t xml:space="preserve">MSc. Eugenio Trejos B.,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i w:val="0"/>
                <w:sz w:val="20"/>
                <w:szCs w:val="20"/>
                <w:vertAlign w:val="baseline"/>
                <w:rtl w:val="0"/>
              </w:rPr>
              <w:t xml:space="preserve">MBA. Adolfo Chaves C., Miembro del Consejo Institucional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b w:val="1"/>
                <w:i w:val="0"/>
                <w:sz w:val="20"/>
                <w:szCs w:val="20"/>
                <w:vertAlign w:val="baseline"/>
                <w:rtl w:val="0"/>
              </w:rPr>
              <w:t xml:space="preserve">Licda. Ana Ruth Vílchez R., Directora de la Editorial Tecnológica de Costa Rica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i w:val="0"/>
                <w:sz w:val="20"/>
                <w:szCs w:val="20"/>
                <w:vertAlign w:val="baseline"/>
                <w:rtl w:val="0"/>
              </w:rPr>
              <w:t xml:space="preserve">Consejo de la Editorial Tecnológica de Costa Rica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i w:val="0"/>
                <w:sz w:val="20"/>
                <w:szCs w:val="20"/>
                <w:vertAlign w:val="baseline"/>
                <w:rtl w:val="0"/>
              </w:rPr>
              <w:t xml:space="preserve">Licda. Bertalía Sánchez S., Directora Ejecutiva de la Secretaría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b w:val="1"/>
                <w:i w:val="0"/>
                <w:sz w:val="20"/>
                <w:szCs w:val="20"/>
                <w:vertAlign w:val="baseline"/>
                <w:rtl w:val="0"/>
              </w:rPr>
              <w:t xml:space="preserve">Sesión Ordinaria No. 2376, Artículo 10, del 9 de setiembre del 2004.  Nombramiento de un miembro del Consejo Institucional  en la Comisión      Ad-hoc que seleccionará los integrantes del Consejo Editorial, durante el período octubre 2004 a Setiembre 2006</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i w:val="0"/>
          <w:sz w:val="24"/>
          <w:szCs w:val="24"/>
          <w:vertAlign w:val="baseline"/>
          <w:rtl w:val="0"/>
        </w:rPr>
        <w:t xml:space="preserve">Para los fines correspondientes se transcribe el acuerdo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i w:val="0"/>
          <w:sz w:val="22"/>
          <w:szCs w:val="22"/>
          <w:vertAlign w:val="baseline"/>
          <w:rtl w:val="0"/>
        </w:rPr>
        <w:t xml:space="preserve">La Secretaría del Consejo Institucional recibió memorando ET/227/04, del 31 de agosto del 2004, suscrito por la Licda. Ana Ruth Vílchez R., Directora de la Editorial Tecnológica de Costa Rica, en el cual solicita designar al representante del Consejo Institucional, que participará en la Comisión Ad-hoc que seleccionará los miembros para el Consejo Editorial, de conformidad con lo estipulado en el Artículo 7, del Reglamento de Organización de la Editorial Tecnológica de Costa Rica, el cual dice:</w:t>
      </w:r>
      <w:r w:rsidDel="00000000" w:rsidR="00000000" w:rsidRPr="00000000">
        <w:rPr>
          <w:rtl w:val="0"/>
        </w:rPr>
      </w:r>
    </w:p>
    <w:p w:rsidR="00000000" w:rsidDel="00000000" w:rsidP="00000000" w:rsidRDefault="00000000" w:rsidRPr="00000000">
      <w:pPr>
        <w:ind w:left="600" w:right="560" w:firstLine="0"/>
        <w:contextualSpacing w:val="0"/>
        <w:jc w:val="both"/>
      </w:pPr>
      <w:r w:rsidDel="00000000" w:rsidR="00000000" w:rsidRPr="00000000">
        <w:rPr>
          <w:i w:val="0"/>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3"/>
        </w:numPr>
        <w:ind w:left="840" w:right="560" w:hanging="283"/>
        <w:jc w:val="both"/>
        <w:rPr>
          <w:rFonts w:ascii="Arial" w:cs="Arial" w:eastAsia="Arial" w:hAnsi="Arial"/>
        </w:rPr>
      </w:pPr>
      <w:r w:rsidDel="00000000" w:rsidR="00000000" w:rsidRPr="00000000">
        <w:rPr>
          <w:i w:val="1"/>
          <w:sz w:val="20"/>
          <w:szCs w:val="20"/>
          <w:vertAlign w:val="baseline"/>
          <w:rtl w:val="0"/>
        </w:rPr>
        <w:t xml:space="preserve">Un funcionario de cada una de las Vicerrectorías del Instituto, nombrado por la Comisión Ad hoc, de entre los candidatos incluidos en ternas que le propongan los Consejos de Vicerrectoría respectivos, conformadas con base en los nombres de funcionarios que presenten los departamentos.</w:t>
      </w:r>
      <w:r w:rsidDel="00000000" w:rsidR="00000000" w:rsidRPr="00000000">
        <w:rPr>
          <w:rtl w:val="0"/>
        </w:rPr>
      </w:r>
    </w:p>
    <w:p w:rsidR="00000000" w:rsidDel="00000000" w:rsidP="00000000" w:rsidRDefault="00000000" w:rsidRPr="00000000">
      <w:pPr>
        <w:ind w:left="840" w:right="560" w:hanging="283"/>
        <w:contextualSpacing w:val="0"/>
        <w:jc w:val="both"/>
      </w:pPr>
      <w:r w:rsidDel="00000000" w:rsidR="00000000" w:rsidRPr="00000000">
        <w:rPr>
          <w:rtl w:val="0"/>
        </w:rPr>
      </w:r>
    </w:p>
    <w:p w:rsidR="00000000" w:rsidDel="00000000" w:rsidP="00000000" w:rsidRDefault="00000000" w:rsidRPr="00000000">
      <w:pPr>
        <w:numPr>
          <w:ilvl w:val="0"/>
          <w:numId w:val="3"/>
        </w:numPr>
        <w:ind w:left="840" w:right="560" w:hanging="283"/>
        <w:jc w:val="both"/>
        <w:rPr>
          <w:rFonts w:ascii="Arial" w:cs="Arial" w:eastAsia="Arial" w:hAnsi="Arial"/>
        </w:rPr>
      </w:pPr>
      <w:r w:rsidDel="00000000" w:rsidR="00000000" w:rsidRPr="00000000">
        <w:rPr>
          <w:i w:val="1"/>
          <w:sz w:val="20"/>
          <w:szCs w:val="20"/>
          <w:vertAlign w:val="baseline"/>
          <w:rtl w:val="0"/>
        </w:rPr>
        <w:t xml:space="preserve">Un estudiante del Instituto, nombrado por el mecanismo y para el período que defina el Estatuto de la Federación de Estudiantes del Instituto Tecnológico de Costa Rica.</w:t>
      </w:r>
      <w:r w:rsidDel="00000000" w:rsidR="00000000" w:rsidRPr="00000000">
        <w:rPr>
          <w:rtl w:val="0"/>
        </w:rPr>
      </w:r>
    </w:p>
    <w:p w:rsidR="00000000" w:rsidDel="00000000" w:rsidP="00000000" w:rsidRDefault="00000000" w:rsidRPr="00000000">
      <w:pPr>
        <w:ind w:left="840" w:right="560" w:hanging="283"/>
        <w:contextualSpacing w:val="0"/>
        <w:jc w:val="both"/>
      </w:pPr>
      <w:r w:rsidDel="00000000" w:rsidR="00000000" w:rsidRPr="00000000">
        <w:rPr>
          <w:rtl w:val="0"/>
        </w:rPr>
      </w:r>
    </w:p>
    <w:p w:rsidR="00000000" w:rsidDel="00000000" w:rsidP="00000000" w:rsidRDefault="00000000" w:rsidRPr="00000000">
      <w:pPr>
        <w:numPr>
          <w:ilvl w:val="0"/>
          <w:numId w:val="3"/>
        </w:numPr>
        <w:ind w:left="840" w:right="560" w:hanging="283"/>
        <w:jc w:val="both"/>
        <w:rPr>
          <w:rFonts w:ascii="Arial" w:cs="Arial" w:eastAsia="Arial" w:hAnsi="Arial"/>
        </w:rPr>
      </w:pPr>
      <w:r w:rsidDel="00000000" w:rsidR="00000000" w:rsidRPr="00000000">
        <w:rPr>
          <w:i w:val="1"/>
          <w:sz w:val="20"/>
          <w:szCs w:val="20"/>
          <w:vertAlign w:val="baseline"/>
          <w:rtl w:val="0"/>
        </w:rPr>
        <w:t xml:space="preserve">Una persona de la Comunidad Nacional que no sea funcionario ni estudiante del Instituto, nombrada por la Comisión Ad hoc, de entre los candidatos que se postulen, en un concurso externo.  El Instituto reconocerá la dieta de ley por la participación de este miembro en las sesiones ordinarias del Consejo.</w:t>
      </w:r>
      <w:r w:rsidDel="00000000" w:rsidR="00000000" w:rsidRPr="00000000">
        <w:rPr>
          <w:rtl w:val="0"/>
        </w:rPr>
      </w:r>
    </w:p>
    <w:p w:rsidR="00000000" w:rsidDel="00000000" w:rsidP="00000000" w:rsidRDefault="00000000" w:rsidRPr="00000000">
      <w:pPr>
        <w:ind w:right="560"/>
        <w:contextualSpacing w:val="0"/>
        <w:jc w:val="both"/>
      </w:pPr>
      <w:r w:rsidDel="00000000" w:rsidR="00000000" w:rsidRPr="00000000">
        <w:rPr>
          <w:rtl w:val="0"/>
        </w:rPr>
      </w:r>
    </w:p>
    <w:p w:rsidR="00000000" w:rsidDel="00000000" w:rsidP="00000000" w:rsidRDefault="00000000" w:rsidRPr="00000000">
      <w:pPr>
        <w:ind w:left="840" w:right="560" w:hanging="283"/>
        <w:contextualSpacing w:val="0"/>
        <w:jc w:val="both"/>
      </w:pPr>
      <w:r w:rsidDel="00000000" w:rsidR="00000000" w:rsidRPr="00000000">
        <w:rPr>
          <w:b w:val="1"/>
          <w:i w:val="1"/>
          <w:sz w:val="20"/>
          <w:szCs w:val="20"/>
          <w:vertAlign w:val="baseline"/>
          <w:rtl w:val="0"/>
        </w:rPr>
        <w:t xml:space="preserve">d.</w:t>
        <w:tab/>
      </w:r>
      <w:r w:rsidDel="00000000" w:rsidR="00000000" w:rsidRPr="00000000">
        <w:rPr>
          <w:i w:val="1"/>
          <w:sz w:val="20"/>
          <w:szCs w:val="20"/>
          <w:vertAlign w:val="baseline"/>
          <w:rtl w:val="0"/>
        </w:rPr>
        <w:t xml:space="preserve">La Comisión Ad hoc a que hace mención en los incisos a) y c) estará integrada por un miembro del Consejo Institucional, el Vicerrector de Investigación y Extensión y el Director de la Editorial.”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0"/>
          <w:szCs w:val="20"/>
          <w:vertAlign w:val="baseline"/>
          <w:rtl w:val="0"/>
        </w:rPr>
        <w:t xml:space="preserve">Sesión Ordinaria No. 2376, Artículo 10, del 9 de setiembre del 2004</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vertAlign w:val="baseline"/>
          <w:rtl w:val="0"/>
        </w:rPr>
        <w:t xml:space="preserve">Página 2</w:t>
      </w:r>
      <w:r w:rsidDel="00000000" w:rsidR="00000000" w:rsidRPr="00000000">
        <w:rPr>
          <w:rtl w:val="0"/>
        </w:rPr>
      </w:r>
    </w:p>
    <w:p w:rsidR="00000000" w:rsidDel="00000000" w:rsidP="00000000" w:rsidRDefault="00000000" w:rsidRPr="00000000">
      <w:pPr>
        <w:spacing w:after="0" w:before="0" w:line="240" w:lineRule="auto"/>
        <w:ind w:right="51"/>
        <w:contextualSpacing w:val="0"/>
        <w:jc w:val="both"/>
      </w:pPr>
      <w:r w:rsidDel="00000000" w:rsidR="00000000" w:rsidRPr="00000000">
        <w:rPr>
          <w:rtl w:val="0"/>
        </w:rPr>
      </w:r>
    </w:p>
    <w:p w:rsidR="00000000" w:rsidDel="00000000" w:rsidP="00000000" w:rsidRDefault="00000000" w:rsidRPr="00000000">
      <w:pPr>
        <w:ind w:left="840" w:hanging="283"/>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i w:val="0"/>
          <w:sz w:val="22"/>
          <w:szCs w:val="22"/>
          <w:vertAlign w:val="baseline"/>
          <w:rtl w:val="0"/>
        </w:rPr>
        <w:t xml:space="preserve">La Comisión Ad-hoc deberá nombrar a un representante de la Vicerrectoría de Investigación y Extensión; un representante de la Vicerrectoría de Administración y un representante de la comunidad nacional, para que integren el Consejo de la Editorial Tecnológica de Costa Rica, para el período comprendido entre octubre del 2004 y setiembre del 2006.</w:t>
      </w:r>
      <w:r w:rsidDel="00000000" w:rsidR="00000000" w:rsidRPr="00000000">
        <w:rPr>
          <w:rtl w:val="0"/>
        </w:rPr>
      </w:r>
    </w:p>
    <w:p w:rsidR="00000000" w:rsidDel="00000000" w:rsidP="00000000" w:rsidRDefault="00000000" w:rsidRPr="00000000">
      <w:pPr>
        <w:tabs>
          <w:tab w:val="left" w:pos="3686"/>
        </w:tabs>
        <w:ind w:right="51"/>
        <w:contextualSpacing w:val="0"/>
        <w:jc w:val="both"/>
      </w:pPr>
      <w:r w:rsidDel="00000000" w:rsidR="00000000" w:rsidRPr="00000000">
        <w:rPr>
          <w:b w:val="1"/>
          <w:i w:val="1"/>
          <w:sz w:val="22"/>
          <w:szCs w:val="22"/>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both"/>
      </w:pPr>
      <w:r w:rsidDel="00000000" w:rsidR="00000000" w:rsidRPr="00000000">
        <w:rPr>
          <w:b w:val="1"/>
          <w:i w:val="0"/>
          <w:sz w:val="22"/>
          <w:szCs w:val="22"/>
          <w:vertAlign w:val="baseline"/>
          <w:rtl w:val="0"/>
        </w:rPr>
        <w:t xml:space="preserve">ACUERDA</w:t>
      </w:r>
      <w:r w:rsidDel="00000000" w:rsidR="00000000" w:rsidRPr="00000000">
        <w:rPr>
          <w:b w:val="1"/>
          <w:i w:val="1"/>
          <w:sz w:val="22"/>
          <w:szCs w:val="22"/>
          <w:vertAlign w:val="baseline"/>
          <w:rtl w:val="0"/>
        </w:rPr>
        <w:t xml:space="preserve">:</w:t>
      </w:r>
      <w:r w:rsidDel="00000000" w:rsidR="00000000" w:rsidRPr="00000000">
        <w:rPr>
          <w:rtl w:val="0"/>
        </w:rPr>
      </w:r>
    </w:p>
    <w:p w:rsidR="00000000" w:rsidDel="00000000" w:rsidP="00000000" w:rsidRDefault="00000000" w:rsidRPr="00000000">
      <w:pPr>
        <w:tabs>
          <w:tab w:val="left" w:pos="3686"/>
        </w:tabs>
        <w:ind w:right="51"/>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i w:val="0"/>
          <w:sz w:val="22"/>
          <w:szCs w:val="22"/>
          <w:vertAlign w:val="baseline"/>
          <w:rtl w:val="0"/>
        </w:rPr>
        <w:t xml:space="preserve">Designar al MBA. Adolfo Chaves Campos, como representante del Consejo Institucional ante la Comisión Ad-hoc, para el nombramiento de un representante de la Vicerrectoría de Investigación y Extensión; un representante de la Vicerrectoría de Administración y un representante de la comunidad nacional ante el Consejo Editorial, para el período comprendido entre octubre del 2004 y setiembre del 2006.</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i w:val="0"/>
          <w:sz w:val="22"/>
          <w:szCs w:val="22"/>
          <w:vertAlign w:val="baseline"/>
          <w:rtl w:val="0"/>
        </w:rPr>
        <w:t xml:space="preserve">Comunicar.  </w:t>
      </w:r>
      <w:r w:rsidDel="00000000" w:rsidR="00000000" w:rsidRPr="00000000">
        <w:rPr>
          <w:b w:val="1"/>
          <w:i w:val="0"/>
          <w:sz w:val="22"/>
          <w:szCs w:val="22"/>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right="51"/>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vertAlign w:val="baseline"/>
          <w:rtl w:val="0"/>
        </w:rPr>
        <w:t xml:space="preserve"> </w:t>
      </w:r>
      <w:r w:rsidDel="00000000" w:rsidR="00000000" w:rsidRPr="00000000">
        <w:rPr>
          <w:i w:val="1"/>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b w:val="1"/>
                <w:i w:val="0"/>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Administración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spacing w:after="0" w:before="0" w:line="240" w:lineRule="auto"/>
        <w:ind w:right="51"/>
        <w:contextualSpacing w:val="0"/>
        <w:jc w:val="both"/>
      </w:pPr>
      <w:r w:rsidDel="00000000" w:rsidR="00000000" w:rsidRPr="00000000">
        <w:rPr>
          <w:rtl w:val="0"/>
        </w:rPr>
      </w:r>
    </w:p>
    <w:sectPr>
      <w:headerReference r:id="rId5" w:type="default"/>
      <w:headerReference r:id="rId6"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9"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9"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1243" w:firstLine="9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283" w:firstLine="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1"/>
        <w:smallCaps w:val="0"/>
        <w:strike w:val="0"/>
        <w:color w:val="000000"/>
        <w:sz w:val="16"/>
        <w:szCs w:val="16"/>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