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SCI-642-2004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9 de setiembre del 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MSc. Eugenio Trejos B., Rector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MBA. José Rafael Hidalgo R., Vicerrector de Administración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MSc. Jeannette Barrantes M., Vicerrectora de Vida Estudiantil y Servicios Académicos</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Srta. Rosa Angélica Aguilar L., Presidenta de la Federación de Estudiantes del Instituto Tecnológico de Costa Rica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Licda. Ligia Dittel S., Directora de la Oficina de Prensa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Comunidad Institucional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Licda. Bertalía Sánchez S., Directora Ejecutiva de la Secretaría 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Ordinaria No. 2376, Artículo 11, del 9 de setiembre del 2004.  Semana de Bienvenida del estudiante al Instituto Tecnológico de Costa Rica </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i w:val="0"/>
          <w:sz w:val="24"/>
          <w:szCs w:val="24"/>
          <w:vertAlign w:val="baseline"/>
          <w:rtl w:val="0"/>
        </w:rPr>
        <w:t xml:space="preserve">Para los fines correspondientes se transcribe el acuerdo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Los estudiantes nuevos y el sector estudiantil en general, ingresan cada semestre para realizar sus estudios profesionales y durante esta temporada lectiva, los estudiantes únicamente se encuentran  involucrados plenamente en el ámbito académico del Instituto Tecnológico de Costa Rica, sin que se realice en la misma, alguna actividad complementaria a lo académico, que ayude a la integración del movimiento estudiantil.  Por lo tanto, consideramos necesario la creación de mecanismos que permitan identificarse no solo con el sistema académico del Instituto Tecnológico de Costa Rica, sino con el movimiento estudiantil.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Instituto Tecnológico de Costa Rica no posee procesos de inducción y socialización suficientes para los nuevos estudiantes.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Institución debe motivar a los estudiantes de nuevo ingreso y facilitarles el proceso de inducción y fortalecer la unificación del movimiento estudiantil, como eje fundamental en el éxito del desarrollo de la Institución.</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FEITEC 2003-2004 realizó una Semana de Bienvenida, la cual tuvo muy buena acogida por parte del sector estudiantil, logrando motivar a los estudiantes desde el inicio del curso lectivo con las diferentes actividades que se realizaron.</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En el Primer Semestre lectivo es cuando ingresan la mayor parte de los estudiantes nuevos que comienzan con estudios superiores, siendo esta una etapa nueva en la vida académica de cada estudiante.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Ordinaria No. 2376, Artículo 11, del 9 de setiembre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360"/>
        </w:tabs>
        <w:ind w:left="360" w:hanging="360"/>
        <w:jc w:val="both"/>
        <w:rPr/>
      </w:pPr>
      <w:r w:rsidDel="00000000" w:rsidR="00000000" w:rsidRPr="00000000">
        <w:rPr>
          <w:rFonts w:ascii="Arial" w:cs="Arial" w:eastAsia="Arial" w:hAnsi="Arial"/>
          <w:sz w:val="22"/>
          <w:szCs w:val="22"/>
          <w:vertAlign w:val="baseline"/>
          <w:rtl w:val="0"/>
        </w:rPr>
        <w:t xml:space="preserve">Declarar la Segunda Semana lectiva del I Semestre de cada año, como la Semana de Bienvenida del estudiante del Instituto Tecnológico de Costa Rica de interés institucional, para que se realicen actividades de inducción y socialización en el inicio del curso lectivo.</w:t>
      </w:r>
      <w:r w:rsidDel="00000000" w:rsidR="00000000" w:rsidRPr="00000000">
        <w:rPr>
          <w:rtl w:val="0"/>
        </w:rPr>
      </w:r>
    </w:p>
    <w:p w:rsidR="00000000" w:rsidDel="00000000" w:rsidP="00000000" w:rsidRDefault="00000000" w:rsidRPr="00000000">
      <w:pPr>
        <w:tabs>
          <w:tab w:val="left" w:pos="360"/>
        </w:tabs>
        <w:ind w:left="360" w:hanging="360"/>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360"/>
        </w:tabs>
        <w:ind w:left="360" w:hanging="360"/>
        <w:jc w:val="both"/>
        <w:rPr/>
      </w:pPr>
      <w:r w:rsidDel="00000000" w:rsidR="00000000" w:rsidRPr="00000000">
        <w:rPr>
          <w:rFonts w:ascii="Arial" w:cs="Arial" w:eastAsia="Arial" w:hAnsi="Arial"/>
          <w:sz w:val="22"/>
          <w:szCs w:val="22"/>
          <w:vertAlign w:val="baseline"/>
          <w:rtl w:val="0"/>
        </w:rPr>
        <w:t xml:space="preserve">Declarar el jueves de la Semana de Bienvenida, como el día del estudiante en el cual se reconocerá a estudiantes destacados en áreas como: deporte, música, pintura, teatro, danza popular y folclórica y participación destacada en el movimiento estudiantil u otros. Estos reconocimientos se coordinarán entre la Federación de Estudiantes y la Vicerrectoría de Vida Estudiantil y Servicios Académicos.</w:t>
      </w:r>
      <w:r w:rsidDel="00000000" w:rsidR="00000000" w:rsidRPr="00000000">
        <w:rPr>
          <w:rtl w:val="0"/>
        </w:rPr>
      </w:r>
    </w:p>
    <w:p w:rsidR="00000000" w:rsidDel="00000000" w:rsidP="00000000" w:rsidRDefault="00000000" w:rsidRPr="00000000">
      <w:pPr>
        <w:tabs>
          <w:tab w:val="left" w:pos="360"/>
        </w:tabs>
        <w:ind w:left="360" w:hanging="360"/>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360"/>
        </w:tabs>
        <w:ind w:left="360" w:hanging="360"/>
        <w:jc w:val="both"/>
        <w:rPr/>
      </w:pPr>
      <w:r w:rsidDel="00000000" w:rsidR="00000000" w:rsidRPr="00000000">
        <w:rPr>
          <w:rFonts w:ascii="Arial" w:cs="Arial" w:eastAsia="Arial" w:hAnsi="Arial"/>
          <w:sz w:val="22"/>
          <w:szCs w:val="22"/>
          <w:vertAlign w:val="baseline"/>
          <w:rtl w:val="0"/>
        </w:rPr>
        <w:t xml:space="preserve">Crear una comisión que elabore un reglamento para los reconocimientos estudiantiles avalados por la Institución, conformada por: un representante nombrado por la Federación de Estudiantes, la o el Vicerrector(a) de Vida Estudiantil y Servicios Académicos, y un miembro nombrado por la Vicerrectoría de Administración del Departamento de Servicios Generales. </w:t>
      </w:r>
      <w:r w:rsidDel="00000000" w:rsidR="00000000" w:rsidRPr="00000000">
        <w:rPr>
          <w:rtl w:val="0"/>
        </w:rPr>
      </w:r>
    </w:p>
    <w:p w:rsidR="00000000" w:rsidDel="00000000" w:rsidP="00000000" w:rsidRDefault="00000000" w:rsidRPr="00000000">
      <w:pPr>
        <w:tabs>
          <w:tab w:val="left" w:pos="360"/>
        </w:tabs>
        <w:ind w:left="360" w:firstLine="0"/>
        <w:contextualSpacing w:val="0"/>
        <w:jc w:val="both"/>
      </w:pPr>
      <w:r w:rsidDel="00000000" w:rsidR="00000000" w:rsidRPr="00000000">
        <w:rPr>
          <w:rtl w:val="0"/>
        </w:rPr>
      </w:r>
    </w:p>
    <w:p w:rsidR="00000000" w:rsidDel="00000000" w:rsidP="00000000" w:rsidRDefault="00000000" w:rsidRPr="00000000">
      <w:pPr>
        <w:tabs>
          <w:tab w:val="left" w:pos="360"/>
        </w:tabs>
        <w:ind w:left="360" w:firstLine="0"/>
        <w:contextualSpacing w:val="0"/>
        <w:jc w:val="both"/>
      </w:pPr>
      <w:r w:rsidDel="00000000" w:rsidR="00000000" w:rsidRPr="00000000">
        <w:rPr>
          <w:rFonts w:ascii="Arial" w:cs="Arial" w:eastAsia="Arial" w:hAnsi="Arial"/>
          <w:sz w:val="22"/>
          <w:szCs w:val="22"/>
          <w:vertAlign w:val="baseline"/>
          <w:rtl w:val="0"/>
        </w:rPr>
        <w:t xml:space="preserve">Los fondos para organizar la Semana de Bienvenida, se otorgarán de una partida destinada del Fondo Solidario de Desarrollo Estudiantil.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Solicitar a la Vicerrectoría de Administración y a la Vicerrectoría de Vida Estudiantil y Servicios Académicos, hacer las previsiones presupuestarias y participar activamente con la Federación de Estudiantes, en la organización de las actividades que se lleven a cabo en la Semana de Bienvenida.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Comunicar este acuerdo a la comunidad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16"/>
          <w:szCs w:val="16"/>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Vicerrectoría de Administración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VIESA</w:t>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pgSz w:h="16838" w:w="11906"/>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08" w:line="240" w:lineRule="auto"/>
      <w:contextualSpacing w:val="0"/>
      <w:jc w:val="right"/>
    </w:pPr>
    <w:r w:rsidDel="00000000" w:rsidR="00000000" w:rsidRPr="00000000">
      <w:rPr>
        <w:rFonts w:ascii="Arial" w:cs="Arial" w:eastAsia="Arial" w:hAnsi="Arial"/>
        <w:b w:val="1"/>
        <w:i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8"/>
        <w:szCs w:val="18"/>
        <w:vertAlign w:val="baseline"/>
        <w:rtl w:val="0"/>
      </w:rPr>
      <w:t xml:space="preserve">Ext. 2217-2239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643"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