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COMUNICACIÓN DE ACUERDO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SCI-638-2004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9 de setiembre del 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978.0" w:type="dxa"/>
        <w:jc w:val="left"/>
        <w:tblInd w:w="-70.0" w:type="dxa"/>
        <w:tblLayout w:type="fixed"/>
        <w:tblLook w:val="0000"/>
      </w:tblPr>
      <w:tblGrid>
        <w:gridCol w:w="1346"/>
        <w:gridCol w:w="7632"/>
        <w:tblGridChange w:id="0">
          <w:tblGrid>
            <w:gridCol w:w="1346"/>
            <w:gridCol w:w="763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MSc. Eugenio Trejos B., Rector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Licda. Bertalía Sánchez S., Directora Ejecutiva de la Secretaría del Consejo Institucional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ASUNTO: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Sesión Ordinaria No. 2376, Artículo 7, del 9 de setiembre del 2004.  Disolución de Comisión “Fuentes de Financiamiento”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134"/>
          <w:tab w:val="left" w:pos="1418"/>
        </w:tabs>
        <w:ind w:right="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Para los fines correspondientes se transcribe el acuerdo citado en la referencia, el cual dice: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CONSIDERANDO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400" w:hanging="40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Consejo Institucional en la Sesión No. 2196, Artículo 5, del 28 de setiembre del 2001, acordó: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800" w:right="49" w:hanging="360"/>
        <w:jc w:val="both"/>
        <w:rPr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vertAlign w:val="baseline"/>
          <w:rtl w:val="0"/>
        </w:rPr>
        <w:t xml:space="preserve">Declarar como urgente la búsqueda de nuevas fuentes de financiamiento.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800" w:right="49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800" w:right="49" w:hanging="360"/>
        <w:jc w:val="both"/>
        <w:rPr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vertAlign w:val="baseline"/>
          <w:rtl w:val="0"/>
        </w:rPr>
        <w:t xml:space="preserve">Solicitar a la Rectoría: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right="49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200" w:right="49" w:hanging="400"/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vertAlign w:val="baseline"/>
          <w:rtl w:val="0"/>
        </w:rPr>
        <w:t xml:space="preserve">b1.  Un informe de las acciones realizadas durante este año para la consecución de recursos adicionales.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200" w:right="49" w:hanging="40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2552"/>
          <w:tab w:val="left" w:pos="2977"/>
        </w:tabs>
        <w:spacing w:after="0" w:before="0" w:line="240" w:lineRule="auto"/>
        <w:ind w:left="1200" w:right="1458" w:hanging="40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b2.</w:t>
        <w:tab/>
        <w:t xml:space="preserve"> Un análisis institucional que permita reflejar que la Institución ha crecido con el mismo porcentaje del ITCR dentro del FEES.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200" w:right="49" w:hanging="40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200" w:right="49" w:hanging="400"/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vertAlign w:val="baseline"/>
          <w:rtl w:val="0"/>
        </w:rPr>
        <w:t xml:space="preserve">b3. </w:t>
        <w:tab/>
        <w:t xml:space="preserve">Propuestas o estrategias que permitan tomar una acción externa para la búsqueda de recursos adicionales.”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100"/>
        </w:tabs>
        <w:ind w:right="4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800" w:right="49" w:hanging="400"/>
        <w:jc w:val="both"/>
        <w:rPr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vertAlign w:val="baseline"/>
          <w:rtl w:val="0"/>
        </w:rPr>
        <w:t xml:space="preserve">Conformar una Comisión dentro del seno de los representantes del Consejo Institucional, que le de seguimiento a este aspecto y proponga un  plan de acción.”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8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400" w:hanging="40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 atención a dicho acuerdo, se delegó en la Rectoría la conformación de  la comisión, la cual fue integrada con las siguientes personas: El Rector en ejercicio, un representante de la Rectoría, dos representantes del Consejo Institucional, un representante de la FEITEC, dos representantes de la AFITEC y un representante de la APROTEC.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400" w:hanging="40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Como producto del trabajo realizado por la Comisión y según informe del señor Alejandro Cruz, Rector de entonces, se elaboró un documento base, para iniciar la búsqueda de los recursos externos a través de donaciones, ayudas, colaboraciones,  así como las posibilidades de establecer cesiones, fideicomisos, gestionar préstamos bancarios a través de empréstitos, entre otros.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Sesión Ordinaria No. 2376, Artículo 7, del 9 de setiembre del 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Página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400" w:hanging="40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Se tiene conocimiento que la Comisión conformada no se encuentra activa y que la Rectoría en gestión, ha llevado a cabo ingentes esfuerzos en la búsqueda de información y posibles acciones que conlleven a la consecución de recursos adicionales.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8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8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400" w:right="40" w:hanging="40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Disolver la Comisión encomendada a la Rectoría en la Sesión No. 2196, Artículo 5, del 28 de setiembre del 2001, para la búsqueda de nuevas fuentes de financiamiento.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8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400" w:right="840" w:hanging="40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Comunicar.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ACUERDO FIRME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8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8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BSS/gfm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4750.0" w:type="dxa"/>
        <w:jc w:val="left"/>
        <w:tblInd w:w="-70.0" w:type="dxa"/>
        <w:tblLayout w:type="fixed"/>
        <w:tblLook w:val="0000"/>
      </w:tblPr>
      <w:tblGrid>
        <w:gridCol w:w="4750"/>
        <w:tblGridChange w:id="0">
          <w:tblGrid>
            <w:gridCol w:w="47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c.   Secretaría del Consejo Institucional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Auditoría Interna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Asesoría Legal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Vicerrectoría de Docencia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Vicerrectoría de Administración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     VIESA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     Sede Regional San Carlos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Centro Académico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OPI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FEITEC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right="840"/>
        <w:contextualSpacing w:val="0"/>
        <w:jc w:val="both"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pgSz w:h="15842" w:w="12242"/>
      <w:pgMar w:bottom="1701" w:top="1701" w:left="1701" w:right="17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720" w:line="240" w:lineRule="auto"/>
      <w:contextualSpacing w:val="0"/>
      <w:jc w:val="right"/>
    </w:pPr>
    <w:r w:rsidDel="00000000" w:rsidR="00000000" w:rsidRPr="00000000">
      <w:rPr>
        <w:rFonts w:ascii="Arial" w:cs="Arial" w:eastAsia="Arial" w:hAnsi="Arial"/>
        <w:b w:val="1"/>
        <w:i w:val="1"/>
        <w:sz w:val="18"/>
        <w:szCs w:val="18"/>
        <w:vertAlign w:val="baseline"/>
        <w:rtl w:val="0"/>
      </w:rPr>
      <w:t xml:space="preserve">Instituto Tecnológico de Costa Rica</w:t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8"/>
        <w:szCs w:val="18"/>
        <w:vertAlign w:val="baseline"/>
        <w:rtl w:val="0"/>
      </w:rPr>
      <w:t xml:space="preserve">Secretaría Consejo Institucional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8"/>
        <w:szCs w:val="18"/>
        <w:vertAlign w:val="baseline"/>
        <w:rtl w:val="0"/>
      </w:rPr>
      <w:t xml:space="preserve">Ext. 2217-2239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ind w:right="-374"/>
      <w:contextualSpacing w:val="0"/>
    </w:pPr>
    <w:r w:rsidDel="00000000" w:rsidR="00000000" w:rsidRPr="00000000">
      <w:drawing>
        <wp:inline distB="0" distT="0" distL="114300" distR="114300">
          <wp:extent cx="5745480" cy="15367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5480" cy="153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720" w:line="240" w:lineRule="auto"/>
      <w:contextualSpacing w:val="0"/>
      <w:jc w:val="right"/>
    </w:pPr>
    <w:r w:rsidDel="00000000" w:rsidR="00000000" w:rsidRPr="00000000">
      <w:rPr>
        <w:rFonts w:ascii="Arial" w:cs="Arial" w:eastAsia="Arial" w:hAnsi="Arial"/>
        <w:b w:val="1"/>
        <w:i w:val="1"/>
        <w:sz w:val="18"/>
        <w:szCs w:val="18"/>
        <w:vertAlign w:val="baseline"/>
        <w:rtl w:val="0"/>
      </w:rPr>
      <w:t xml:space="preserve">Instituto Tecnológico de Costa Rica</w:t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8"/>
        <w:szCs w:val="18"/>
        <w:vertAlign w:val="baseline"/>
        <w:rtl w:val="0"/>
      </w:rPr>
      <w:t xml:space="preserve">Secretaría Consejo Institucional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8"/>
        <w:szCs w:val="18"/>
        <w:vertAlign w:val="baseline"/>
        <w:rtl w:val="0"/>
      </w:rPr>
      <w:t xml:space="preserve">Ext. 2217-2239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ind w:right="-374"/>
      <w:contextualSpacing w:val="0"/>
    </w:pPr>
    <w:r w:rsidDel="00000000" w:rsidR="00000000" w:rsidRPr="00000000">
      <w:drawing>
        <wp:inline distB="0" distT="0" distL="114300" distR="114300">
          <wp:extent cx="5745480" cy="153670"/>
          <wp:effectExtent b="0" l="0" r="0" t="0"/>
          <wp:docPr id="2" name="image02.png"/>
          <a:graphic>
            <a:graphicData uri="http://schemas.openxmlformats.org/drawingml/2006/picture">
              <pic:pic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5480" cy="153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2640" w:firstLine="2280"/>
      </w:pPr>
      <w:rPr>
        <w:rFonts w:ascii="Arial" w:cs="Arial" w:eastAsia="Arial" w:hAnsi="Arial"/>
        <w:b w:val="1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2">
    <w:lvl w:ilvl="0">
      <w:start w:val="1"/>
      <w:numFmt w:val="lowerLetter"/>
      <w:lvlText w:val="%1."/>
      <w:lvlJc w:val="left"/>
      <w:pPr>
        <w:ind w:left="850" w:firstLine="567"/>
      </w:pPr>
      <w:rPr>
        <w:b w:val="1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02.png"/></Relationships>
</file>