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3686"/>
        </w:tabs>
        <w:ind w:right="51"/>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Fonts w:ascii="Arial" w:cs="Arial" w:eastAsia="Arial" w:hAnsi="Arial"/>
          <w:b w:val="1"/>
          <w:vertAlign w:val="baseline"/>
          <w:rtl w:val="0"/>
        </w:rPr>
        <w:t xml:space="preserve">SCI-707-2004</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Fonts w:ascii="Arial" w:cs="Arial" w:eastAsia="Arial" w:hAnsi="Arial"/>
          <w:b w:val="1"/>
          <w:vertAlign w:val="baseline"/>
          <w:rtl w:val="0"/>
        </w:rPr>
        <w:t xml:space="preserve">7 de octubre del 2004</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MSc. Eugenio Trejos B., Rector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DI. Sergio Rivas P., Profesor de la Escuela de Diseño Industrial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MSc. Juan Carlos Carvajal M., Director del Centro de Información Tecnológica</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MSc. Jorge Quesada Araya, funcionario del Centro de Información Tecnológica</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Ing. Alexander Valerín C., Director del Centro de Cómputo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Licda. Ligia Dittel S., Directora de la Oficina de Prensa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Srta. Rosa Angélica Aguilar L., Presidenta de la Federación de Estudiantes del Instituto Tecnológico de Costa Rica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DE:</w:t>
            </w: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vertAlign w:val="baseline"/>
                <w:rtl w:val="0"/>
              </w:rPr>
              <w:t xml:space="preserve">Licda. Bertalía Sánchez S., Directora Ejecutiva de la Secretaría del Consejo Institucional </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vertAlign w:val="baseline"/>
                <w:rtl w:val="0"/>
              </w:rPr>
              <w:t xml:space="preserve">Sesión Ordinaria No. 2384, Artículo 11, del 7 de octubre del 2004.  Creación de una Comisión Especial, para que elabore un modelo de Proyección e Imagen Institucional</w:t>
            </w:r>
            <w:r w:rsidDel="00000000" w:rsidR="00000000" w:rsidRPr="00000000">
              <w:rPr>
                <w:rFonts w:ascii="Arial" w:cs="Arial" w:eastAsia="Arial" w:hAnsi="Arial"/>
                <w:b w:val="1"/>
                <w:sz w:val="22"/>
                <w:szCs w:val="22"/>
                <w:vertAlign w:val="baseline"/>
                <w:rtl w:val="0"/>
              </w:rPr>
              <w:t xml:space="preserve"> </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citado en la referencia, el cual</w:t>
      </w:r>
      <w:r w:rsidDel="00000000" w:rsidR="00000000" w:rsidRPr="00000000">
        <w:rPr>
          <w:rFonts w:ascii="Arial" w:cs="Arial" w:eastAsia="Arial" w:hAnsi="Arial"/>
          <w:b w:val="0"/>
          <w:i w:val="1"/>
          <w:sz w:val="24"/>
          <w:szCs w:val="24"/>
          <w:vertAlign w:val="baseline"/>
          <w:rtl w:val="0"/>
        </w:rPr>
        <w:t xml:space="preserve"> </w:t>
      </w:r>
      <w:r w:rsidDel="00000000" w:rsidR="00000000" w:rsidRPr="00000000">
        <w:rPr>
          <w:rFonts w:ascii="Arial" w:cs="Arial" w:eastAsia="Arial" w:hAnsi="Arial"/>
          <w:b w:val="0"/>
          <w:sz w:val="24"/>
          <w:szCs w:val="24"/>
          <w:vertAlign w:val="baseline"/>
          <w:rtl w:val="0"/>
        </w:rPr>
        <w:t xml:space="preserve">dice: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3686"/>
        </w:tabs>
        <w:ind w:right="51"/>
        <w:contextualSpacing w:val="0"/>
        <w:jc w:val="both"/>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tabs>
          <w:tab w:val="left" w:pos="3686"/>
        </w:tabs>
        <w:ind w:right="51"/>
        <w:contextualSpacing w:val="0"/>
        <w:jc w:val="both"/>
      </w:pPr>
      <w:r w:rsidDel="00000000" w:rsidR="00000000" w:rsidRPr="00000000">
        <w:rPr>
          <w:rtl w:val="0"/>
        </w:rPr>
      </w:r>
    </w:p>
    <w:p w:rsidR="00000000" w:rsidDel="00000000" w:rsidP="00000000" w:rsidRDefault="00000000" w:rsidRPr="00000000">
      <w:pPr>
        <w:numPr>
          <w:ilvl w:val="0"/>
          <w:numId w:val="4"/>
        </w:numPr>
        <w:tabs>
          <w:tab w:val="left" w:pos="2694"/>
        </w:tabs>
        <w:ind w:left="284" w:hanging="284"/>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En el Instituto Tecnológico de Costa Rica durante los últimos diez años ha venido funcionado una Comisión Permanente de Proyección e Imagen Institucional, la cual ha presentado informes periódicos ante el Consejo Institucional.</w:t>
      </w:r>
      <w:r w:rsidDel="00000000" w:rsidR="00000000" w:rsidRPr="00000000">
        <w:rPr>
          <w:rtl w:val="0"/>
        </w:rPr>
      </w:r>
    </w:p>
    <w:p w:rsidR="00000000" w:rsidDel="00000000" w:rsidP="00000000" w:rsidRDefault="00000000" w:rsidRPr="00000000">
      <w:pPr>
        <w:tabs>
          <w:tab w:val="left" w:pos="2694"/>
        </w:tabs>
        <w:ind w:left="284" w:hanging="284"/>
        <w:contextualSpacing w:val="0"/>
        <w:jc w:val="both"/>
      </w:pPr>
      <w:r w:rsidDel="00000000" w:rsidR="00000000" w:rsidRPr="00000000">
        <w:rPr>
          <w:rtl w:val="0"/>
        </w:rPr>
      </w:r>
    </w:p>
    <w:p w:rsidR="00000000" w:rsidDel="00000000" w:rsidP="00000000" w:rsidRDefault="00000000" w:rsidRPr="00000000">
      <w:pPr>
        <w:numPr>
          <w:ilvl w:val="0"/>
          <w:numId w:val="3"/>
        </w:numPr>
        <w:tabs>
          <w:tab w:val="right" w:pos="-720"/>
          <w:tab w:val="left" w:pos="-540"/>
        </w:tabs>
        <w:ind w:left="284" w:hanging="284"/>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Comisión de Asuntos Académicos y Estudiantiles en la reunión No. 73-04, celebrada el 26 de abril del 2004, recibió la visita del DI. Sergio Rivas, Coordinador de la Comisión, quien planteó la necesidad de ubicar una oficina en la Vicerrectoría de Investigación y Extensión, y definir un nuevo modelo de trabajo.  </w:t>
      </w:r>
      <w:r w:rsidDel="00000000" w:rsidR="00000000" w:rsidRPr="00000000">
        <w:rPr>
          <w:rtl w:val="0"/>
        </w:rPr>
      </w:r>
    </w:p>
    <w:p w:rsidR="00000000" w:rsidDel="00000000" w:rsidP="00000000" w:rsidRDefault="00000000" w:rsidRPr="00000000">
      <w:pPr>
        <w:tabs>
          <w:tab w:val="right" w:pos="-720"/>
          <w:tab w:val="left" w:pos="-540"/>
        </w:tabs>
        <w:contextualSpacing w:val="0"/>
        <w:jc w:val="both"/>
      </w:pPr>
      <w:r w:rsidDel="00000000" w:rsidR="00000000" w:rsidRPr="00000000">
        <w:rPr>
          <w:rtl w:val="0"/>
        </w:rPr>
      </w:r>
    </w:p>
    <w:p w:rsidR="00000000" w:rsidDel="00000000" w:rsidP="00000000" w:rsidRDefault="00000000" w:rsidRPr="00000000">
      <w:pPr>
        <w:numPr>
          <w:ilvl w:val="0"/>
          <w:numId w:val="3"/>
        </w:numPr>
        <w:tabs>
          <w:tab w:val="right" w:pos="-720"/>
          <w:tab w:val="left" w:pos="-540"/>
        </w:tabs>
        <w:ind w:left="284" w:hanging="284"/>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DI., Sergio Rivas, en memorando con fecha 8 de setiembre del 2004, remitió los planteamientos sobre las funciones, estructura y forma participativa de la actual Comisión de Imagen dentro del quehacer Institucional, con la finalidad de que se ajuste a las necesidades institucionales. </w:t>
      </w:r>
      <w:r w:rsidDel="00000000" w:rsidR="00000000" w:rsidRPr="00000000">
        <w:rPr>
          <w:rtl w:val="0"/>
        </w:rPr>
      </w:r>
    </w:p>
    <w:p w:rsidR="00000000" w:rsidDel="00000000" w:rsidP="00000000" w:rsidRDefault="00000000" w:rsidRPr="00000000">
      <w:pPr>
        <w:tabs>
          <w:tab w:val="right" w:pos="-720"/>
          <w:tab w:val="left" w:pos="-540"/>
        </w:tabs>
        <w:contextualSpacing w:val="0"/>
        <w:jc w:val="both"/>
      </w:pPr>
      <w:r w:rsidDel="00000000" w:rsidR="00000000" w:rsidRPr="00000000">
        <w:rPr>
          <w:rtl w:val="0"/>
        </w:rPr>
      </w:r>
    </w:p>
    <w:p w:rsidR="00000000" w:rsidDel="00000000" w:rsidP="00000000" w:rsidRDefault="00000000" w:rsidRPr="00000000">
      <w:pPr>
        <w:numPr>
          <w:ilvl w:val="0"/>
          <w:numId w:val="3"/>
        </w:numPr>
        <w:tabs>
          <w:tab w:val="right" w:pos="-720"/>
          <w:tab w:val="left" w:pos="-540"/>
        </w:tabs>
        <w:ind w:left="284" w:hanging="284"/>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Comisión de Asuntos Académicos y Estudiantiles en la reunión celebrada el 27 de setiembre del 2004, avaló la propuesta presentada y dispuso presentarla al Consejo Institucional,  a fin de conformar una comisión especial, para que dictamine sobre el trabajo realizado por la Comisión Permanente de Proyección e Imagen Institucional, adscrita a la Rectoría.  Asimismo deberá rendir un informe en un plazo no mayor de tres meses.</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b w:val="1"/>
          <w:i w:val="1"/>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vertAlign w:val="baseline"/>
          <w:rtl w:val="0"/>
        </w:rPr>
        <w:t xml:space="preserve">Sesión Ordinaria No. 2384, Artículo 11, del 7 de octubre del 2004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Página 2</w:t>
      </w:r>
      <w:r w:rsidDel="00000000" w:rsidR="00000000" w:rsidRPr="00000000">
        <w:rPr>
          <w:rtl w:val="0"/>
        </w:rPr>
      </w:r>
    </w:p>
    <w:p w:rsidR="00000000" w:rsidDel="00000000" w:rsidP="00000000" w:rsidRDefault="00000000" w:rsidRPr="00000000">
      <w:pPr>
        <w:tabs>
          <w:tab w:val="right" w:pos="2410"/>
          <w:tab w:val="left" w:pos="2694"/>
        </w:tabs>
        <w:spacing w:after="0" w:before="0" w:line="240" w:lineRule="auto"/>
        <w:contextualSpacing w:val="0"/>
        <w:jc w:val="both"/>
      </w:pPr>
      <w:r w:rsidDel="00000000" w:rsidR="00000000" w:rsidRPr="00000000">
        <w:rPr>
          <w:rtl w:val="0"/>
        </w:rPr>
      </w:r>
    </w:p>
    <w:p w:rsidR="00000000" w:rsidDel="00000000" w:rsidP="00000000" w:rsidRDefault="00000000" w:rsidRPr="00000000">
      <w:pPr>
        <w:tabs>
          <w:tab w:val="left" w:pos="3686"/>
        </w:tabs>
        <w:ind w:right="51"/>
        <w:contextualSpacing w:val="0"/>
        <w:jc w:val="both"/>
      </w:pPr>
      <w:r w:rsidDel="00000000" w:rsidR="00000000" w:rsidRPr="00000000">
        <w:rPr>
          <w:rtl w:val="0"/>
        </w:rPr>
      </w:r>
    </w:p>
    <w:p w:rsidR="00000000" w:rsidDel="00000000" w:rsidP="00000000" w:rsidRDefault="00000000" w:rsidRPr="00000000">
      <w:pPr>
        <w:tabs>
          <w:tab w:val="left" w:pos="3686"/>
        </w:tabs>
        <w:ind w:right="51"/>
        <w:contextualSpacing w:val="0"/>
        <w:jc w:val="both"/>
      </w:pPr>
      <w:r w:rsidDel="00000000" w:rsidR="00000000" w:rsidRPr="00000000">
        <w:rPr>
          <w:rFonts w:ascii="Arial" w:cs="Arial" w:eastAsia="Arial" w:hAnsi="Arial"/>
          <w:b w:val="1"/>
          <w:sz w:val="22"/>
          <w:szCs w:val="22"/>
          <w:vertAlign w:val="baseline"/>
          <w:rtl w:val="0"/>
        </w:rPr>
        <w:t xml:space="preserve">ACUERDA: </w:t>
      </w:r>
      <w:r w:rsidDel="00000000" w:rsidR="00000000" w:rsidRPr="00000000">
        <w:rPr>
          <w:rtl w:val="0"/>
        </w:rPr>
      </w:r>
    </w:p>
    <w:p w:rsidR="00000000" w:rsidDel="00000000" w:rsidP="00000000" w:rsidRDefault="00000000" w:rsidRPr="00000000">
      <w:pPr>
        <w:tabs>
          <w:tab w:val="left" w:pos="3686"/>
        </w:tabs>
        <w:ind w:right="51"/>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Conformar una Comisión Especial para que elabore un modelo de Proyección e Imagen Institucional, a partir del análisis del trabajo realizado hasta la fecha, por la Comisión  Permanente de Proyección e Imagen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color w:val="000000"/>
          <w:sz w:val="22"/>
          <w:szCs w:val="22"/>
          <w:highlight w:val="yellow"/>
        </w:rPr>
      </w:pPr>
      <w:r w:rsidDel="00000000" w:rsidR="00000000" w:rsidRPr="00000000">
        <w:rPr>
          <w:rFonts w:ascii="Arial" w:cs="Arial" w:eastAsia="Arial" w:hAnsi="Arial"/>
          <w:color w:val="000000"/>
          <w:sz w:val="22"/>
          <w:szCs w:val="22"/>
          <w:highlight w:val="yellow"/>
          <w:vertAlign w:val="baseline"/>
          <w:rtl w:val="0"/>
        </w:rPr>
        <w:t xml:space="preserve">Integrar la Comisión Especial de la siguiente manera: </w:t>
      </w:r>
      <w:r w:rsidDel="00000000" w:rsidR="00000000" w:rsidRPr="00000000">
        <w:rPr>
          <w:rtl w:val="0"/>
        </w:rPr>
      </w:r>
    </w:p>
    <w:p w:rsidR="00000000" w:rsidDel="00000000" w:rsidP="00000000" w:rsidRDefault="00000000" w:rsidRPr="00000000">
      <w:pPr>
        <w:numPr>
          <w:ilvl w:val="1"/>
          <w:numId w:val="1"/>
        </w:numPr>
        <w:spacing w:before="80" w:lineRule="auto"/>
        <w:ind w:left="709" w:hanging="283"/>
        <w:jc w:val="both"/>
        <w:rPr>
          <w:b w:val="0"/>
          <w:color w:val="000000"/>
          <w:highlight w:val="yellow"/>
        </w:rPr>
      </w:pPr>
      <w:r w:rsidDel="00000000" w:rsidR="00000000" w:rsidRPr="00000000">
        <w:rPr>
          <w:rFonts w:ascii="Arial" w:cs="Arial" w:eastAsia="Arial" w:hAnsi="Arial"/>
          <w:color w:val="000000"/>
          <w:sz w:val="22"/>
          <w:szCs w:val="22"/>
          <w:highlight w:val="yellow"/>
          <w:vertAlign w:val="baseline"/>
          <w:rtl w:val="0"/>
        </w:rPr>
        <w:t xml:space="preserve">DI. Sergio Rivas, quien coordina</w:t>
      </w:r>
      <w:r w:rsidDel="00000000" w:rsidR="00000000" w:rsidRPr="00000000">
        <w:rPr>
          <w:rtl w:val="0"/>
        </w:rPr>
      </w:r>
    </w:p>
    <w:p w:rsidR="00000000" w:rsidDel="00000000" w:rsidP="00000000" w:rsidRDefault="00000000" w:rsidRPr="00000000">
      <w:pPr>
        <w:numPr>
          <w:ilvl w:val="1"/>
          <w:numId w:val="1"/>
        </w:numPr>
        <w:spacing w:before="80" w:lineRule="auto"/>
        <w:ind w:left="709" w:hanging="283"/>
        <w:jc w:val="both"/>
        <w:rPr>
          <w:b w:val="0"/>
          <w:color w:val="000000"/>
          <w:highlight w:val="yellow"/>
        </w:rPr>
      </w:pPr>
      <w:r w:rsidDel="00000000" w:rsidR="00000000" w:rsidRPr="00000000">
        <w:rPr>
          <w:rFonts w:ascii="Arial" w:cs="Arial" w:eastAsia="Arial" w:hAnsi="Arial"/>
          <w:color w:val="000000"/>
          <w:sz w:val="22"/>
          <w:szCs w:val="22"/>
          <w:highlight w:val="yellow"/>
          <w:vertAlign w:val="baseline"/>
          <w:rtl w:val="0"/>
        </w:rPr>
        <w:t xml:space="preserve">MSc. Juan Carlos Carvajal Morales, Centro de Información Tecnológica</w:t>
      </w:r>
      <w:r w:rsidDel="00000000" w:rsidR="00000000" w:rsidRPr="00000000">
        <w:rPr>
          <w:rtl w:val="0"/>
        </w:rPr>
      </w:r>
    </w:p>
    <w:p w:rsidR="00000000" w:rsidDel="00000000" w:rsidP="00000000" w:rsidRDefault="00000000" w:rsidRPr="00000000">
      <w:pPr>
        <w:numPr>
          <w:ilvl w:val="1"/>
          <w:numId w:val="1"/>
        </w:numPr>
        <w:spacing w:before="80" w:lineRule="auto"/>
        <w:ind w:left="709" w:hanging="283"/>
        <w:jc w:val="both"/>
        <w:rPr>
          <w:b w:val="0"/>
          <w:color w:val="000000"/>
          <w:highlight w:val="yellow"/>
        </w:rPr>
      </w:pPr>
      <w:r w:rsidDel="00000000" w:rsidR="00000000" w:rsidRPr="00000000">
        <w:rPr>
          <w:rFonts w:ascii="Arial" w:cs="Arial" w:eastAsia="Arial" w:hAnsi="Arial"/>
          <w:color w:val="000000"/>
          <w:sz w:val="22"/>
          <w:szCs w:val="22"/>
          <w:highlight w:val="yellow"/>
          <w:vertAlign w:val="baseline"/>
          <w:rtl w:val="0"/>
        </w:rPr>
        <w:t xml:space="preserve">MSc. Jorge Quesada Araya, Centro de Información Tecnológica </w:t>
      </w:r>
      <w:r w:rsidDel="00000000" w:rsidR="00000000" w:rsidRPr="00000000">
        <w:rPr>
          <w:rtl w:val="0"/>
        </w:rPr>
      </w:r>
    </w:p>
    <w:p w:rsidR="00000000" w:rsidDel="00000000" w:rsidP="00000000" w:rsidRDefault="00000000" w:rsidRPr="00000000">
      <w:pPr>
        <w:numPr>
          <w:ilvl w:val="1"/>
          <w:numId w:val="1"/>
        </w:numPr>
        <w:spacing w:before="80" w:lineRule="auto"/>
        <w:ind w:left="709" w:hanging="283"/>
        <w:jc w:val="both"/>
        <w:rPr>
          <w:b w:val="0"/>
          <w:color w:val="000000"/>
          <w:highlight w:val="yellow"/>
        </w:rPr>
      </w:pPr>
      <w:r w:rsidDel="00000000" w:rsidR="00000000" w:rsidRPr="00000000">
        <w:rPr>
          <w:rFonts w:ascii="Arial" w:cs="Arial" w:eastAsia="Arial" w:hAnsi="Arial"/>
          <w:color w:val="000000"/>
          <w:sz w:val="22"/>
          <w:szCs w:val="22"/>
          <w:highlight w:val="yellow"/>
          <w:vertAlign w:val="baseline"/>
          <w:rtl w:val="0"/>
        </w:rPr>
        <w:t xml:space="preserve">Ing. Alexander Valerín Castro, Centro de Cómputo </w:t>
      </w:r>
      <w:r w:rsidDel="00000000" w:rsidR="00000000" w:rsidRPr="00000000">
        <w:rPr>
          <w:rtl w:val="0"/>
        </w:rPr>
      </w:r>
    </w:p>
    <w:p w:rsidR="00000000" w:rsidDel="00000000" w:rsidP="00000000" w:rsidRDefault="00000000" w:rsidRPr="00000000">
      <w:pPr>
        <w:numPr>
          <w:ilvl w:val="1"/>
          <w:numId w:val="1"/>
        </w:numPr>
        <w:spacing w:before="80" w:lineRule="auto"/>
        <w:ind w:left="709" w:hanging="283"/>
        <w:jc w:val="both"/>
        <w:rPr>
          <w:b w:val="0"/>
          <w:color w:val="000000"/>
          <w:highlight w:val="yellow"/>
        </w:rPr>
      </w:pPr>
      <w:r w:rsidDel="00000000" w:rsidR="00000000" w:rsidRPr="00000000">
        <w:rPr>
          <w:rFonts w:ascii="Arial" w:cs="Arial" w:eastAsia="Arial" w:hAnsi="Arial"/>
          <w:color w:val="000000"/>
          <w:sz w:val="22"/>
          <w:szCs w:val="22"/>
          <w:highlight w:val="yellow"/>
          <w:vertAlign w:val="baseline"/>
          <w:rtl w:val="0"/>
        </w:rPr>
        <w:t xml:space="preserve">Licda. Ligia Dittel, Oficina de Prensa </w:t>
      </w:r>
      <w:r w:rsidDel="00000000" w:rsidR="00000000" w:rsidRPr="00000000">
        <w:rPr>
          <w:rtl w:val="0"/>
        </w:rPr>
      </w:r>
    </w:p>
    <w:p w:rsidR="00000000" w:rsidDel="00000000" w:rsidP="00000000" w:rsidRDefault="00000000" w:rsidRPr="00000000">
      <w:pPr>
        <w:numPr>
          <w:ilvl w:val="1"/>
          <w:numId w:val="1"/>
        </w:numPr>
        <w:spacing w:before="80" w:lineRule="auto"/>
        <w:ind w:left="709" w:hanging="283"/>
        <w:jc w:val="both"/>
        <w:rPr>
          <w:b w:val="0"/>
          <w:color w:val="000000"/>
          <w:highlight w:val="yellow"/>
        </w:rPr>
      </w:pPr>
      <w:r w:rsidDel="00000000" w:rsidR="00000000" w:rsidRPr="00000000">
        <w:rPr>
          <w:rFonts w:ascii="Arial" w:cs="Arial" w:eastAsia="Arial" w:hAnsi="Arial"/>
          <w:color w:val="000000"/>
          <w:sz w:val="22"/>
          <w:szCs w:val="22"/>
          <w:highlight w:val="yellow"/>
          <w:vertAlign w:val="baseline"/>
          <w:rtl w:val="0"/>
        </w:rPr>
        <w:t xml:space="preserve">Un representante estudiantil nombrado por la FEITEC</w:t>
      </w:r>
      <w:r w:rsidDel="00000000" w:rsidR="00000000" w:rsidRPr="00000000">
        <w:rPr>
          <w:rtl w:val="0"/>
        </w:rPr>
      </w:r>
    </w:p>
    <w:p w:rsidR="00000000" w:rsidDel="00000000" w:rsidP="00000000" w:rsidRDefault="00000000" w:rsidRPr="00000000">
      <w:pPr>
        <w:spacing w:before="8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2"/>
        </w:numPr>
        <w:tabs>
          <w:tab w:val="left" w:pos="0"/>
        </w:tabs>
        <w:ind w:left="426" w:hanging="425"/>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Solicitar a la Comisión que rinda el informe correspondiente al Consejo Institucional, a más tardar el 15 de diciembre del 2004.</w:t>
      </w:r>
      <w:r w:rsidDel="00000000" w:rsidR="00000000" w:rsidRPr="00000000">
        <w:rPr>
          <w:rtl w:val="0"/>
        </w:rPr>
      </w:r>
    </w:p>
    <w:p w:rsidR="00000000" w:rsidDel="00000000" w:rsidP="00000000" w:rsidRDefault="00000000" w:rsidRPr="00000000">
      <w:pPr>
        <w:tabs>
          <w:tab w:val="left" w:pos="0"/>
        </w:tabs>
        <w:ind w:left="1" w:firstLine="0"/>
        <w:contextualSpacing w:val="0"/>
        <w:jc w:val="both"/>
      </w:pPr>
      <w:r w:rsidDel="00000000" w:rsidR="00000000" w:rsidRPr="00000000">
        <w:rPr>
          <w:rtl w:val="0"/>
        </w:rPr>
      </w:r>
    </w:p>
    <w:p w:rsidR="00000000" w:rsidDel="00000000" w:rsidP="00000000" w:rsidRDefault="00000000" w:rsidRPr="00000000">
      <w:pPr>
        <w:numPr>
          <w:ilvl w:val="0"/>
          <w:numId w:val="2"/>
        </w:numPr>
        <w:tabs>
          <w:tab w:val="left" w:pos="0"/>
        </w:tabs>
        <w:ind w:left="426" w:hanging="425"/>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tabs>
          <w:tab w:val="left" w:pos="0"/>
        </w:tabs>
        <w:ind w:left="1" w:firstLine="0"/>
        <w:contextualSpacing w:val="0"/>
        <w:jc w:val="both"/>
      </w:pPr>
      <w:r w:rsidDel="00000000" w:rsidR="00000000" w:rsidRPr="00000000">
        <w:rPr>
          <w:rtl w:val="0"/>
        </w:rPr>
      </w:r>
    </w:p>
    <w:p w:rsidR="00000000" w:rsidDel="00000000" w:rsidP="00000000" w:rsidRDefault="00000000" w:rsidRPr="00000000">
      <w:pPr>
        <w:tabs>
          <w:tab w:val="left" w:pos="0"/>
        </w:tabs>
        <w:ind w:left="1"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sz w:val="16"/>
          <w:szCs w:val="16"/>
          <w:vertAlign w:val="baseline"/>
          <w:rtl w:val="0"/>
        </w:rPr>
        <w:t xml:space="preserve">BSS/gfm</w:t>
      </w:r>
      <w:r w:rsidDel="00000000" w:rsidR="00000000" w:rsidRPr="00000000">
        <w:rPr>
          <w:rtl w:val="0"/>
        </w:rPr>
      </w:r>
    </w:p>
    <w:tbl>
      <w:tblPr>
        <w:tblStyle w:val="Table2"/>
        <w:bidi w:val="0"/>
        <w:tblW w:w="4750.0" w:type="dxa"/>
        <w:jc w:val="left"/>
        <w:tblInd w:w="-70.0" w:type="dxa"/>
        <w:tblLayout w:type="fixed"/>
        <w:tblLook w:val="0000"/>
      </w:tblPr>
      <w:tblGrid>
        <w:gridCol w:w="4750"/>
        <w:tblGridChange w:id="0">
          <w:tblGrid>
            <w:gridCol w:w="4750"/>
          </w:tblGrid>
        </w:tblGridChange>
      </w:tblGrid>
      <w:tr>
        <w:tc>
          <w:tcPr/>
          <w:p w:rsidR="00000000" w:rsidDel="00000000" w:rsidP="00000000" w:rsidRDefault="00000000" w:rsidRPr="00000000">
            <w:pPr>
              <w:ind w:left="284" w:right="567" w:hanging="284"/>
              <w:contextualSpacing w:val="0"/>
              <w:jc w:val="both"/>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Auditoría Interna</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Asesoría Legal </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Vicerrectoría de Docencia </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Vicerrectoría de Administración </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VIE</w:t>
            </w:r>
            <w:r w:rsidDel="00000000" w:rsidR="00000000" w:rsidRPr="00000000">
              <w:rPr>
                <w:rtl w:val="0"/>
              </w:rPr>
            </w:r>
          </w:p>
        </w:tc>
      </w:tr>
      <w:tr>
        <w:tc>
          <w:tcPr/>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i w:val="0"/>
                <w:sz w:val="18"/>
                <w:szCs w:val="18"/>
                <w:vertAlign w:val="baseline"/>
                <w:rtl w:val="0"/>
              </w:rPr>
              <w:t xml:space="preserve">      VIESA</w:t>
            </w:r>
          </w:p>
        </w:tc>
      </w:tr>
      <w:tr>
        <w:tc>
          <w:tcPr/>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i w:val="0"/>
                <w:sz w:val="18"/>
                <w:szCs w:val="18"/>
                <w:vertAlign w:val="baseline"/>
                <w:rtl w:val="0"/>
              </w:rPr>
              <w:t xml:space="preserve">      Sede Regional San Carlos</w:t>
            </w:r>
          </w:p>
        </w:tc>
      </w:tr>
      <w:tr>
        <w:tc>
          <w:tcPr/>
          <w:p w:rsidR="00000000" w:rsidDel="00000000" w:rsidP="00000000" w:rsidRDefault="00000000" w:rsidRPr="00000000">
            <w:pPr>
              <w:ind w:left="284" w:right="51" w:firstLine="0"/>
              <w:contextualSpacing w:val="0"/>
              <w:jc w:val="both"/>
            </w:pPr>
            <w:r w:rsidDel="00000000" w:rsidR="00000000" w:rsidRPr="00000000">
              <w:rPr>
                <w:rFonts w:ascii="Arial" w:cs="Arial" w:eastAsia="Arial" w:hAnsi="Arial"/>
                <w:b w:val="1"/>
                <w:sz w:val="18"/>
                <w:szCs w:val="18"/>
                <w:vertAlign w:val="baseline"/>
                <w:rtl w:val="0"/>
              </w:rPr>
              <w:t xml:space="preserve">Centro Académico</w:t>
            </w:r>
            <w:r w:rsidDel="00000000" w:rsidR="00000000" w:rsidRPr="00000000">
              <w:rPr>
                <w:rtl w:val="0"/>
              </w:rPr>
            </w:r>
          </w:p>
        </w:tc>
      </w:tr>
      <w:tr>
        <w:tc>
          <w:tcPr/>
          <w:p w:rsidR="00000000" w:rsidDel="00000000" w:rsidP="00000000" w:rsidRDefault="00000000" w:rsidRPr="00000000">
            <w:pPr>
              <w:ind w:left="284" w:right="51" w:firstLine="0"/>
              <w:contextualSpacing w:val="0"/>
              <w:jc w:val="both"/>
            </w:pPr>
            <w:r w:rsidDel="00000000" w:rsidR="00000000" w:rsidRPr="00000000">
              <w:rPr>
                <w:rFonts w:ascii="Arial" w:cs="Arial" w:eastAsia="Arial" w:hAnsi="Arial"/>
                <w:b w:val="1"/>
                <w:sz w:val="18"/>
                <w:szCs w:val="18"/>
                <w:vertAlign w:val="baseline"/>
                <w:rtl w:val="0"/>
              </w:rPr>
              <w:t xml:space="preserve">OPI</w:t>
            </w:r>
            <w:r w:rsidDel="00000000" w:rsidR="00000000" w:rsidRPr="00000000">
              <w:rPr>
                <w:rtl w:val="0"/>
              </w:rPr>
            </w:r>
          </w:p>
        </w:tc>
      </w:tr>
      <w:tr>
        <w:tc>
          <w:tcPr/>
          <w:p w:rsidR="00000000" w:rsidDel="00000000" w:rsidP="00000000" w:rsidRDefault="00000000" w:rsidRPr="00000000">
            <w:pPr>
              <w:ind w:left="284" w:right="51" w:firstLine="0"/>
              <w:contextualSpacing w:val="0"/>
              <w:jc w:val="both"/>
            </w:pPr>
            <w:r w:rsidDel="00000000" w:rsidR="00000000" w:rsidRPr="00000000">
              <w:rPr>
                <w:rFonts w:ascii="Arial" w:cs="Arial" w:eastAsia="Arial" w:hAnsi="Arial"/>
                <w:b w:val="1"/>
                <w:sz w:val="18"/>
                <w:szCs w:val="18"/>
                <w:vertAlign w:val="baseline"/>
                <w:rtl w:val="0"/>
              </w:rPr>
              <w:t xml:space="preserve">FEITEC</w:t>
            </w:r>
            <w:r w:rsidDel="00000000" w:rsidR="00000000" w:rsidRPr="00000000">
              <w:rPr>
                <w:rtl w:val="0"/>
              </w:rPr>
            </w:r>
          </w:p>
        </w:tc>
      </w:tr>
    </w:tbl>
    <w:p w:rsidR="00000000" w:rsidDel="00000000" w:rsidP="00000000" w:rsidRDefault="00000000" w:rsidRPr="00000000">
      <w:pPr>
        <w:tabs>
          <w:tab w:val="left" w:pos="0"/>
        </w:tabs>
        <w:spacing w:before="120" w:lineRule="auto"/>
        <w:ind w:left="1" w:firstLine="0"/>
        <w:contextualSpacing w:val="0"/>
        <w:jc w:val="both"/>
      </w:pPr>
      <w:r w:rsidDel="00000000" w:rsidR="00000000" w:rsidRPr="00000000">
        <w:rPr>
          <w:rtl w:val="0"/>
        </w:rPr>
      </w:r>
    </w:p>
    <w:sectPr>
      <w:headerReference r:id="rId5" w:type="default"/>
      <w:pgSz w:h="15842" w:w="12242"/>
      <w:pgMar w:bottom="1418" w:top="1418" w:left="1418" w:right="141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720" w:line="240" w:lineRule="auto"/>
      <w:contextualSpacing w:val="0"/>
      <w:jc w:val="right"/>
    </w:pPr>
    <w:r w:rsidDel="00000000" w:rsidR="00000000" w:rsidRPr="00000000">
      <w:rPr>
        <w:rFonts w:ascii="Arial" w:cs="Arial" w:eastAsia="Arial" w:hAnsi="Arial"/>
        <w:b w:val="1"/>
        <w:i w:val="1"/>
        <w:sz w:val="18"/>
        <w:szCs w:val="18"/>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sz w:val="18"/>
        <w:szCs w:val="18"/>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sz w:val="18"/>
        <w:szCs w:val="18"/>
        <w:vertAlign w:val="baseline"/>
        <w:rtl w:val="0"/>
      </w:rPr>
      <w:t xml:space="preserve">Ext. 2217-2239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pPr>
    <w:r w:rsidDel="00000000" w:rsidR="00000000" w:rsidRPr="00000000">
      <w:drawing>
        <wp:inline distB="0" distT="0" distL="114300" distR="114300">
          <wp:extent cx="5745480" cy="15367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745480" cy="15367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080" w:firstLine="720"/>
      </w:pPr>
      <w:rPr>
        <w:rFonts w:ascii="Arial" w:cs="Arial" w:eastAsia="Arial" w:hAnsi="Arial"/>
        <w:sz w:val="16"/>
        <w:szCs w:val="16"/>
        <w:vertAlign w:val="baseline"/>
      </w:rPr>
    </w:lvl>
    <w:lvl w:ilvl="1">
      <w:start w:val="1"/>
      <w:numFmt w:val="bullet"/>
      <w:lvlText w:val="●"/>
      <w:lvlJc w:val="left"/>
      <w:pPr>
        <w:ind w:left="1800" w:firstLine="1440"/>
      </w:pPr>
      <w:rPr>
        <w:rFonts w:ascii="Arial" w:cs="Arial" w:eastAsia="Arial" w:hAnsi="Arial"/>
        <w:sz w:val="16"/>
        <w:szCs w:val="16"/>
        <w:vertAlign w:val="baseline"/>
      </w:rPr>
    </w:lvl>
    <w:lvl w:ilvl="2">
      <w:start w:val="1"/>
      <w:numFmt w:val="bullet"/>
      <w:lvlText w:val="▪"/>
      <w:lvlJc w:val="left"/>
      <w:pPr>
        <w:ind w:left="2520" w:firstLine="2160"/>
      </w:pPr>
      <w:rPr>
        <w:rFonts w:ascii="Arial" w:cs="Arial" w:eastAsia="Arial" w:hAnsi="Arial"/>
        <w:vertAlign w:val="baseline"/>
      </w:rPr>
    </w:lvl>
    <w:lvl w:ilvl="3">
      <w:start w:val="1"/>
      <w:numFmt w:val="bullet"/>
      <w:lvlText w:val="●"/>
      <w:lvlJc w:val="left"/>
      <w:pPr>
        <w:ind w:left="3240" w:firstLine="2880"/>
      </w:pPr>
      <w:rPr>
        <w:rFonts w:ascii="Arial" w:cs="Arial" w:eastAsia="Arial" w:hAnsi="Arial"/>
        <w:vertAlign w:val="baseline"/>
      </w:rPr>
    </w:lvl>
    <w:lvl w:ilvl="4">
      <w:start w:val="1"/>
      <w:numFmt w:val="bullet"/>
      <w:lvlText w:val="o"/>
      <w:lvlJc w:val="left"/>
      <w:pPr>
        <w:ind w:left="3960" w:firstLine="3600"/>
      </w:pPr>
      <w:rPr>
        <w:rFonts w:ascii="Arial" w:cs="Arial" w:eastAsia="Arial" w:hAnsi="Arial"/>
        <w:vertAlign w:val="baseline"/>
      </w:rPr>
    </w:lvl>
    <w:lvl w:ilvl="5">
      <w:start w:val="1"/>
      <w:numFmt w:val="bullet"/>
      <w:lvlText w:val="▪"/>
      <w:lvlJc w:val="left"/>
      <w:pPr>
        <w:ind w:left="4680" w:firstLine="4320"/>
      </w:pPr>
      <w:rPr>
        <w:rFonts w:ascii="Arial" w:cs="Arial" w:eastAsia="Arial" w:hAnsi="Arial"/>
        <w:vertAlign w:val="baseline"/>
      </w:rPr>
    </w:lvl>
    <w:lvl w:ilvl="6">
      <w:start w:val="1"/>
      <w:numFmt w:val="bullet"/>
      <w:lvlText w:val="●"/>
      <w:lvlJc w:val="left"/>
      <w:pPr>
        <w:ind w:left="5400" w:firstLine="5040"/>
      </w:pPr>
      <w:rPr>
        <w:rFonts w:ascii="Arial" w:cs="Arial" w:eastAsia="Arial" w:hAnsi="Arial"/>
        <w:vertAlign w:val="baseline"/>
      </w:rPr>
    </w:lvl>
    <w:lvl w:ilvl="7">
      <w:start w:val="1"/>
      <w:numFmt w:val="bullet"/>
      <w:lvlText w:val="o"/>
      <w:lvlJc w:val="left"/>
      <w:pPr>
        <w:ind w:left="6120" w:firstLine="5760"/>
      </w:pPr>
      <w:rPr>
        <w:rFonts w:ascii="Arial" w:cs="Arial" w:eastAsia="Arial" w:hAnsi="Arial"/>
        <w:vertAlign w:val="baseline"/>
      </w:rPr>
    </w:lvl>
    <w:lvl w:ilvl="8">
      <w:start w:val="1"/>
      <w:numFmt w:val="bullet"/>
      <w:lvlText w:val="▪"/>
      <w:lvlJc w:val="left"/>
      <w:pPr>
        <w:ind w:left="6840" w:firstLine="6480"/>
      </w:pPr>
      <w:rPr>
        <w:rFonts w:ascii="Arial" w:cs="Arial" w:eastAsia="Arial" w:hAnsi="Arial"/>
        <w:vertAlign w:val="baseline"/>
      </w:rPr>
    </w:lvl>
  </w:abstractNum>
  <w:abstractNum w:abstractNumId="2">
    <w:lvl w:ilvl="0">
      <w:start w:val="1"/>
      <w:numFmt w:val="lowerLetter"/>
      <w:lvlText w:val="%1."/>
      <w:lvlJc w:val="left"/>
      <w:pPr>
        <w:ind w:left="1428" w:firstLine="1068"/>
      </w:pPr>
      <w:rPr>
        <w:b w:val="1"/>
        <w:vertAlign w:val="baseline"/>
      </w:rPr>
    </w:lvl>
    <w:lvl w:ilvl="1">
      <w:start w:val="1"/>
      <w:numFmt w:val="lowerLetter"/>
      <w:lvlText w:val="%2."/>
      <w:lvlJc w:val="left"/>
      <w:pPr>
        <w:ind w:left="2148" w:firstLine="1788"/>
      </w:pPr>
      <w:rPr>
        <w:vertAlign w:val="baseline"/>
      </w:rPr>
    </w:lvl>
    <w:lvl w:ilvl="2">
      <w:start w:val="1"/>
      <w:numFmt w:val="lowerRoman"/>
      <w:lvlText w:val="%3."/>
      <w:lvlJc w:val="right"/>
      <w:pPr>
        <w:ind w:left="2868" w:firstLine="2688"/>
      </w:pPr>
      <w:rPr>
        <w:vertAlign w:val="baseline"/>
      </w:rPr>
    </w:lvl>
    <w:lvl w:ilvl="3">
      <w:start w:val="1"/>
      <w:numFmt w:val="decimal"/>
      <w:lvlText w:val="%4."/>
      <w:lvlJc w:val="left"/>
      <w:pPr>
        <w:ind w:left="3588" w:firstLine="3228"/>
      </w:pPr>
      <w:rPr>
        <w:vertAlign w:val="baseline"/>
      </w:rPr>
    </w:lvl>
    <w:lvl w:ilvl="4">
      <w:start w:val="1"/>
      <w:numFmt w:val="lowerLetter"/>
      <w:lvlText w:val="%5."/>
      <w:lvlJc w:val="left"/>
      <w:pPr>
        <w:ind w:left="4308" w:firstLine="3948"/>
      </w:pPr>
      <w:rPr>
        <w:vertAlign w:val="baseline"/>
      </w:rPr>
    </w:lvl>
    <w:lvl w:ilvl="5">
      <w:start w:val="1"/>
      <w:numFmt w:val="lowerRoman"/>
      <w:lvlText w:val="%6."/>
      <w:lvlJc w:val="right"/>
      <w:pPr>
        <w:ind w:left="5028" w:firstLine="4848"/>
      </w:pPr>
      <w:rPr>
        <w:vertAlign w:val="baseline"/>
      </w:rPr>
    </w:lvl>
    <w:lvl w:ilvl="6">
      <w:start w:val="1"/>
      <w:numFmt w:val="decimal"/>
      <w:lvlText w:val="%7."/>
      <w:lvlJc w:val="left"/>
      <w:pPr>
        <w:ind w:left="5748" w:firstLine="5388"/>
      </w:pPr>
      <w:rPr>
        <w:vertAlign w:val="baseline"/>
      </w:rPr>
    </w:lvl>
    <w:lvl w:ilvl="7">
      <w:start w:val="1"/>
      <w:numFmt w:val="lowerLetter"/>
      <w:lvlText w:val="%8."/>
      <w:lvlJc w:val="left"/>
      <w:pPr>
        <w:ind w:left="6468" w:firstLine="6108"/>
      </w:pPr>
      <w:rPr>
        <w:vertAlign w:val="baseline"/>
      </w:rPr>
    </w:lvl>
    <w:lvl w:ilvl="8">
      <w:start w:val="1"/>
      <w:numFmt w:val="lowerRoman"/>
      <w:lvlText w:val="%9."/>
      <w:lvlJc w:val="right"/>
      <w:pPr>
        <w:ind w:left="7188" w:firstLine="7008"/>
      </w:pPr>
      <w:rPr>
        <w:vertAlign w:val="baseline"/>
      </w:rPr>
    </w:lvl>
  </w:abstractNum>
  <w:abstractNum w:abstractNumId="3">
    <w:lvl w:ilvl="0">
      <w:start w:val="2"/>
      <w:numFmt w:val="decimal"/>
      <w:lvlText w:val="%1."/>
      <w:lvlJc w:val="left"/>
      <w:pPr>
        <w:ind w:left="720" w:firstLine="360"/>
      </w:pPr>
      <w:rPr>
        <w:b w:val="1"/>
        <w:i w:val="0"/>
        <w:sz w:val="22"/>
        <w:szCs w:val="22"/>
        <w:vertAlign w:val="baseline"/>
      </w:rPr>
    </w:lvl>
    <w:lvl w:ilvl="1">
      <w:start w:val="1"/>
      <w:numFmt w:val="lowerLetter"/>
      <w:lvlText w:val="%2."/>
      <w:lvlJc w:val="left"/>
      <w:pPr>
        <w:ind w:left="1440" w:firstLine="1080"/>
      </w:pPr>
      <w:rPr>
        <w:b w:val="1"/>
        <w:i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decimal"/>
      <w:lvlText w:val="%1."/>
      <w:lvlJc w:val="left"/>
      <w:pPr>
        <w:ind w:left="1080" w:firstLine="72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