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SCI-760-2004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 de noviembre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Juan Fernando Álvarez C., Vicerrector de Investigación y Extensión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Extraordinaria No. 2390, Artículo 1, del 1 de noviembre del 2004.  Modificaciones Internas Nos. 93, 94, 95, 96, 97, 98 y 99 de la Vicerrectoría de Investigación y Extensión</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DFC-1129-04, con fecha 22 de octubre del 2004, suscrito por el Lic. José Elías Calderón, Director del Departamento Financiero Contable, dirigido al Ing. Rafael Gutiérrez, Coordinador de la Comisión de Planificación y Administración, en el cual adjunta las Modificaciones Internas Nos. 93, 94, 95, 96, 97, 98 y 99 de la Vicerrectoría de Investigación y Extensión, para la aprobación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VIE-330-04, con fecha 22 de octubre del 2004, suscrito por el Dr. Juan Fernando Álvarez, Vicerrector de la VIE, dirigido al Ing. Rafael Gutiérrez, Coordinador de la Comisión de Planificación y Administración, en el cual expone que Intel donó un Microscopio Electrónico Barrido (MEB), como herramienta indispensable para el nuevo énfasis de la Carrera en Materiales en Microelectrónica y de la Escuela en general, por lo que debe ser instalado por un monto de $ 28.000, esto será financiado tanto por Intel como por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25 de octubre del 2004, según consta en la Minuta No. 98-2004, conoció las solicitudes de Modificaciones Internas Nos. 93, 94, 95, 96, 97, 98 y 99 de la Vicerrectoría de Investigación y Extensión, y dispuso solicitar los respectivos informes a la Auditoría Interna y a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PAO-OPI-111-04, suscrito por el Ing. Max Buck, Director de la Oficina de Planificación Institucional, dirigido al Ing. Rafael Gutiérrez, Coordinador de la Comisión de Planificación y Administración,  en el cual remite el pronunciamiento de la Modificaciones Internas Nos. 93, 94, 95, 96, 97, 98 y 99 de la Vicerrectoría de Investigación y Extensión e indica que en vista de que no afectan el Plan Anual Operativo 2004.  Sin embargo, señala lo siguiente: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Ninguna partida institucional puede utilizarse para financiar gastos de operación a menos que sean partidas complementarias (compra de herramientas o materiales que se destinen para el mantenimiento) o una disminución temporal que pueda ser cubierta con un presupuesto extraordinario seguro, según aprobación del Consejo Institucional</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por lo que debe aprobarse vía excepción.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Extraordinaria No. 2390, Artículo 1, del 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color w:val="000080"/>
        </w:rPr>
      </w:pPr>
      <w:r w:rsidDel="00000000" w:rsidR="00000000" w:rsidRPr="00000000">
        <w:rPr>
          <w:rFonts w:ascii="Arial" w:cs="Arial" w:eastAsia="Arial" w:hAnsi="Arial"/>
          <w:sz w:val="22"/>
          <w:szCs w:val="22"/>
          <w:vertAlign w:val="baseline"/>
          <w:rtl w:val="0"/>
        </w:rPr>
        <w:t xml:space="preserve">La Secretaría del Consejo Institucional recibió el memorando AUDI-278-2004, con fecha 27 de octubre del 2004, suscrito por el Lic. Isidro Álvarez, Auditor Interno, dirigido al Ing. Rafael Gutiérrez, Coordinador de la Comisión de Planificación y Administración, en el cual remite el Informe AUDI/AS-047-2004 “Observaciones a la Modificaciones Internas Nos. 93, 94, 95, 96, 97, 98, 99, 100 y 101, de la Vicerrectoría de Investigación y Extensión, Vicerrectoría de Docencia y Sede Regional San Carlos, respectivamente”.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93, vía excepción al apartado c., inciso 4, según acuerdo del Consejo Institucional, de la Sesión No. 2146, Artículo 4, del 03 de noviembre del 2000, por un monto de ¢1.000.000,00 colones (un millón de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2"/>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Vicerrectoría de Investigación y Extensión</w:t>
            </w:r>
            <w:r w:rsidDel="00000000" w:rsidR="00000000" w:rsidRPr="00000000">
              <w:rPr>
                <w:rFonts w:ascii="Arial" w:cs="Arial" w:eastAsia="Arial" w:hAnsi="Arial"/>
                <w:b w:val="1"/>
                <w:sz w:val="18"/>
                <w:szCs w:val="18"/>
                <w:vertAlign w:val="baseline"/>
                <w:rtl w:val="0"/>
              </w:rPr>
              <w:t xml:space="preserve">(Partidas Institucionales)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5401-1701-2001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1.000.000.00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Vicerrectoría de Administración</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5301-1210-2001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4510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Construcciones adicionales y mejoras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¢1.000.000.00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94, vía excepción al apartado c., inciso 4, según acuerdo del Consejo Institucional, de la Sesión No. 2146, Artículo 4, del 03 de noviembre del 2000, por un monto de ¢ 300.000,00 colones (trescientos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3"/>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Vicerrectoría de Investigación y Extensión</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5401-1701-2001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300.000.00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Vicerrectoría de Docencia</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5201-1320-2001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300.000.00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Extraordinaria No. 2390, Artículo 1, del 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95, vía excepción al apartado c., inciso 4, según acuerdo del Consejo Institucional, de la Sesión No. 2146, Artículo 4, del 03 de noviembre del 2000, por un monto de ¢ 100,00 colones (cien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4"/>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Costa Rica Industrial improvement by applying radiotracers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5402-1490-0901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ind w:left="2090" w:hanging="2090"/>
              <w:contextualSpacing w:val="0"/>
              <w:jc w:val="both"/>
            </w:pPr>
            <w:r w:rsidDel="00000000" w:rsidR="00000000" w:rsidRPr="00000000">
              <w:rPr>
                <w:rFonts w:ascii="Arial" w:cs="Arial" w:eastAsia="Arial" w:hAnsi="Arial"/>
                <w:b w:val="1"/>
                <w:sz w:val="22"/>
                <w:szCs w:val="22"/>
                <w:vertAlign w:val="baseline"/>
                <w:rtl w:val="0"/>
              </w:rPr>
              <w:t xml:space="preserve">Unidad Ejecutora:  Programa de investigación y desarrollo hacia la sostenibilidad de asentamientos humanos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5402-1414-0901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96, vía excepción al apartado c., inciso 4, según acuerdo del Consejo Institucional, de la Sesión No. 2146, Artículo 4, del 03 de noviembre del 2000, por un monto de ¢ 300,00 colones (trescientos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5"/>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Costa Rica Industrial improvement by applying radiotracers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5402-1490-0901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300.000.00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Costa Rica Industrial improvement by applying radiotracers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5402-1490-0901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300.000.00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300.000.00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Extraordinaria No. 2390, Artículo 1, del 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97, vía excepción al apartado c., inciso 4, según acuerdo del Consejo Institucional, de la Sesión No. 2146, Artículo 4, del 03 de noviembre del 2000, por un monto de ¢ 200,00 colones (doscientos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6"/>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Costa Rica Industrial improvement by applying radiotracers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5402-1490-0901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200.000.00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ind w:left="2090" w:hanging="2090"/>
              <w:contextualSpacing w:val="0"/>
              <w:jc w:val="both"/>
            </w:pPr>
            <w:r w:rsidDel="00000000" w:rsidR="00000000" w:rsidRPr="00000000">
              <w:rPr>
                <w:rFonts w:ascii="Arial" w:cs="Arial" w:eastAsia="Arial" w:hAnsi="Arial"/>
                <w:b w:val="1"/>
                <w:sz w:val="22"/>
                <w:szCs w:val="22"/>
                <w:vertAlign w:val="baseline"/>
                <w:rtl w:val="0"/>
              </w:rPr>
              <w:t xml:space="preserve">Unidad Ejecutora:  Modelo empresarial en el campo administrativo y financiero del leasing</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5402-1381-0201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6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200.000.00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98, vía excepción al apartado c., inciso 4, según acuerdo del Consejo Institucional, de la Sesión No. 2146, Artículo 4, del 03 de noviembre del 2000, por un monto de ¢ 200,00 colones (doscientos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7"/>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Costa Rica Industrial improvement by applying radiotracers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5402-1490-0901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200.000.00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TROPICORR</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5402-1490-0801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200.000.00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Extraordinaria No. 2390, Artículo 1, del 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99, vía excepción al apartado c., inciso 4, según acuerdo del Consejo Institucional, de la Sesión No. 2146, Artículo 4, del 03 de noviembre del 2000, por un monto de ¢ 1.500.000,00 colones (un millón quinientos mil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8"/>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Vicerrectoría de Investigación y Extensión</w:t>
            </w:r>
            <w:r w:rsidDel="00000000" w:rsidR="00000000" w:rsidRPr="00000000">
              <w:rPr>
                <w:rFonts w:ascii="Arial" w:cs="Arial" w:eastAsia="Arial" w:hAnsi="Arial"/>
                <w:b w:val="1"/>
                <w:sz w:val="18"/>
                <w:szCs w:val="18"/>
                <w:vertAlign w:val="baseline"/>
                <w:rtl w:val="0"/>
              </w:rPr>
              <w:t xml:space="preserve">(Partidas Institucionales)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5401-1701-2001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1.500.000.00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1.500.000.00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Vicerrectoría de Investigación y Extensión</w:t>
            </w:r>
            <w:r w:rsidDel="00000000" w:rsidR="00000000" w:rsidRPr="00000000">
              <w:rPr>
                <w:rFonts w:ascii="Arial" w:cs="Arial" w:eastAsia="Arial" w:hAnsi="Arial"/>
                <w:b w:val="1"/>
                <w:sz w:val="18"/>
                <w:szCs w:val="18"/>
                <w:vertAlign w:val="baseline"/>
                <w:rtl w:val="0"/>
              </w:rPr>
              <w:t xml:space="preserve">(Partidas Institucionales)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5401-1701-2001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4160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de Computación</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1.500.000.00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1.500.000.00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9"/>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Unidad de Análisis Financiero y Presupuesto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304" w:top="1304" w:left="1304" w:right="13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