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SCI-761-2004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1 de noviembre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MSc. Eugenio Trejos B., Rector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MBA. José Rafael Hidalgo R., Vicerrector de Administración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0"/>
                <w:szCs w:val="20"/>
                <w:vertAlign w:val="baseline"/>
                <w:rtl w:val="0"/>
              </w:rPr>
              <w:t xml:space="preserve">Dr. Luis Gerardo Meza C., Vicerrector de Docencia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 Elías Calderón O., Director del Departamento Financiero Contable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Extraordinaria No. 2390, Artículo 2, del 1 de noviembre del 2004.  Modificación Interna No. 100, de la Vicerrectoría de Docencia</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Para los fines correspondientes se transcribe el acuerdo citado en la referencia, el cual dice:</w:t>
      </w:r>
    </w:p>
    <w:p w:rsidR="00000000" w:rsidDel="00000000" w:rsidP="00000000" w:rsidRDefault="00000000" w:rsidRPr="00000000">
      <w:pPr>
        <w:spacing w:after="0" w:before="0" w:line="240" w:lineRule="auto"/>
        <w:ind w:left="1440" w:hanging="144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VAD-877-04, con fecha 25 de octubre del 2004, suscrito por el MBA. José Rafael Hidalgo, Vicerrector de Administración, dirigido al Ing. Rafael Gutiérrez, Coordinador de la Comisión de Planificación y Administración, en el cual adjunta la Modificación Interna No. 100 de la Vicerrectoría de Docencia, con el fin de reparar una caldera de la Escuela de Ingeniería en Electromecánica.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EIE-364-04, con fecha 21 de octubre del 2004, suscrito por el Ing. Arnoldo Ramírez Quirós, Director de la Escuela de Ingeniería Electromecánica, dirigido al Ing. Rafael Gutiérrez, Coordinador de la Comisión de Planificación y Administración, en el cual se remite solicitud para la reparación de una caldera, que es un equipo vital para culminar el presente semestre en el curso de laboratorio de sistemas de vapor.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Planificación y Administración en la reunión celebrada el 25 de octubre del 2004, según consta en la Minuta No. 98-2004, conoció la solicitud de Modificación Interna No. 100 de la Vicerrectoría de Docencia y dispuso solicitar los respectivos informes a la Auditoría Interna y a la 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Oficio PAO-OPI-112-04, suscrito por el Ing. Max Buck, Director de la Oficina de Planificación Institucional, dirigido al Ing. Rafael Gutiérrez, Coordinador de la Comisión de Planificación y Administración,  en el cual remite el pronunciamiento de la Modificación Interna No. 100 de la Vicerrectoría de Docencia e indica que no afecta el Plan Anual Operativo 2004, puesto que transfiere recursos económicos para el reforzamiento del Presupuesto asignado a la meta 1.1.5 del Plan Anual Operativo.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Extraordinaria No. 2390, Artículo 2, del 1 de noviembre del 2004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Secretaría del Consejo Institucional recibió el memorando AUDI-278-2004, con fecha 27 de octubre del 2004, suscrito por el Lic. Isidro Alvarez, Auditor Interno, dirigido al Ing. Rafael Gutiérrez, Coordinador de la Comisión de Planificación y Administración, en el cual remite el Informe AUDI/AS-047-2004 “Observaciones a la Modificaciones Internas Nos. 93, 94, 95, 96, 97, 98, 99, 100 y 101, de la Vicerrectoría de Investigación y Extensión, Vicerrectoría de Docencia y Sede Regional San Carlos, respectivamente”.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ACUERDA: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Aprobar la Modificación Interna No. 100, vía excepción al apartado c., inciso 4, según acuerdo del Consejo Institucional, de la Sesión No. 2146, Artículo 4, del 03 de noviembre del 2000, por un monto de ¢1.370.000,00 colones (un millón trescientos setenta mil de colones), desglosada de la siguiente manera:</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tl w:val="0"/>
        </w:rPr>
      </w:r>
    </w:p>
    <w:tbl>
      <w:tblPr>
        <w:tblStyle w:val="Table2"/>
        <w:bidi w:val="0"/>
        <w:tblW w:w="8712.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4"/>
        <w:gridCol w:w="4677"/>
        <w:gridCol w:w="1701"/>
        <w:tblGridChange w:id="0">
          <w:tblGrid>
            <w:gridCol w:w="2334"/>
            <w:gridCol w:w="4677"/>
            <w:gridCol w:w="1701"/>
          </w:tblGrid>
        </w:tblGridChange>
      </w:tblGrid>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Aumentar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Unidad Ejecutora:  Docencia</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Centro de Costo:  5201-1320-2001</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4060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Equipo Médico y de Laboratorio</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1.370.000.00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AUMENTAR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 1.370.000.00</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Disminuir                  </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Unidad Ejecutora:  Varios</w:t>
            </w:r>
            <w:r w:rsidDel="00000000" w:rsidR="00000000" w:rsidRPr="00000000">
              <w:rPr>
                <w:rtl w:val="0"/>
              </w:rPr>
            </w:r>
          </w:p>
        </w:tc>
      </w:tr>
      <w:tr>
        <w:trPr>
          <w:trHeight w:val="240" w:hRule="atLeast"/>
        </w:trPr>
        <w:tc>
          <w:tcPr>
            <w:gridSpan w:val="3"/>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Centro de Costo:      Varios</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Objeto de Gasto</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Partida Presupuestaria </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Monto </w:t>
            </w:r>
            <w:r w:rsidDel="00000000" w:rsidR="00000000" w:rsidRPr="00000000">
              <w:rPr>
                <w:rtl w:val="0"/>
              </w:rPr>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5101-1113-0001-3190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materiales y suministros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615.000.00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5103-1210-2001-2890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Otros servicios no personales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270.000.00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5101-1112-2001-2210</w:t>
            </w:r>
          </w:p>
        </w:tc>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Fonts w:ascii="Arial" w:cs="Arial" w:eastAsia="Arial" w:hAnsi="Arial"/>
                <w:b w:val="0"/>
                <w:sz w:val="22"/>
                <w:szCs w:val="22"/>
                <w:vertAlign w:val="baseline"/>
                <w:rtl w:val="0"/>
              </w:rPr>
              <w:t xml:space="preserve">Información, Prensa y otros medios</w:t>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0"/>
                <w:sz w:val="22"/>
                <w:szCs w:val="22"/>
                <w:vertAlign w:val="baseline"/>
                <w:rtl w:val="0"/>
              </w:rPr>
              <w:t xml:space="preserve">485.000.00</w:t>
            </w:r>
          </w:p>
        </w:tc>
      </w:tr>
      <w:tr>
        <w:trPr>
          <w:trHeight w:val="240" w:hRule="atLeast"/>
        </w:trPr>
        <w:tc>
          <w:tcPr/>
          <w:p w:rsidR="00000000" w:rsidDel="00000000" w:rsidP="00000000" w:rsidRDefault="00000000" w:rsidRPr="00000000">
            <w:pPr>
              <w:tabs>
                <w:tab w:val="center" w:pos="4252"/>
                <w:tab w:val="right" w:pos="8504"/>
              </w:tabs>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TOTAL POR DISMINUIR</w:t>
            </w:r>
            <w:r w:rsidDel="00000000" w:rsidR="00000000" w:rsidRPr="00000000">
              <w:rPr>
                <w:rtl w:val="0"/>
              </w:rPr>
            </w:r>
          </w:p>
        </w:tc>
        <w:tc>
          <w:tcPr/>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Arial" w:cs="Arial" w:eastAsia="Arial" w:hAnsi="Arial"/>
                <w:b w:val="1"/>
                <w:sz w:val="22"/>
                <w:szCs w:val="22"/>
                <w:vertAlign w:val="baseline"/>
                <w:rtl w:val="0"/>
              </w:rPr>
              <w:t xml:space="preserve">¢1.370.000.00</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Comunicar.  </w:t>
      </w:r>
      <w:r w:rsidDel="00000000" w:rsidR="00000000" w:rsidRPr="00000000">
        <w:rPr>
          <w:rFonts w:ascii="Arial" w:cs="Arial" w:eastAsia="Arial" w:hAnsi="Arial"/>
          <w:b w:val="1"/>
          <w:sz w:val="22"/>
          <w:szCs w:val="22"/>
          <w:vertAlign w:val="baseline"/>
          <w:rtl w:val="0"/>
        </w:rPr>
        <w:t xml:space="preserve">ACUERDO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BSS/gfm</w:t>
      </w:r>
      <w:r w:rsidDel="00000000" w:rsidR="00000000" w:rsidRPr="00000000">
        <w:rPr>
          <w:rtl w:val="0"/>
        </w:rPr>
      </w:r>
    </w:p>
    <w:tbl>
      <w:tblPr>
        <w:tblStyle w:val="Table3"/>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rFonts w:ascii="Arial" w:cs="Arial" w:eastAsia="Arial" w:hAnsi="Arial"/>
                <w:b w:val="1"/>
                <w:sz w:val="18"/>
                <w:szCs w:val="18"/>
                <w:vertAlign w:val="baseline"/>
                <w:rtl w:val="0"/>
              </w:rPr>
              <w:t xml:space="preserve">Unidad de Análisis Financiero y Presupuesto</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pgSz w:h="16838" w:w="11906"/>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363" w:firstLine="1080.0000000000002"/>
      </w:pPr>
      <w:rPr>
        <w:b w:val="1"/>
        <w:i w:val="0"/>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