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SCI-864-2004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16 de diciembre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Dr. Juan Fernando Álvarez C., Vicerrector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Eugenia Solano A.,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Ing. Carlos Mata M., Director de la Dirección de Cooperación de la Vicerrectoría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2398, Artículo 12, del 16 de diciembre del 2004.  Ratificación de nombramiento de Vicerrector de Investigación y Extensión en forma interina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40" w:hanging="340"/>
        <w:jc w:val="both"/>
        <w:rPr/>
      </w:pPr>
      <w:r w:rsidDel="00000000" w:rsidR="00000000" w:rsidRPr="00000000">
        <w:rPr>
          <w:i w:val="0"/>
          <w:sz w:val="22"/>
          <w:szCs w:val="22"/>
          <w:vertAlign w:val="baseline"/>
          <w:rtl w:val="0"/>
        </w:rPr>
        <w:t xml:space="preserve">El Consejo Institucional en la Sesión No. 2398, Artículo 11, del 16 de diciembre del 2004, ratificó el nombramiento del Dr. Juan Fernando Álvarez Castro, como Rector interino, durante el período comprendido del 18 al 27 de diciembre del 2004,  período en que el titular de este cargo estará disfrutando del beneficio conferido por el Consejo Institucional en Sesión No. 1528, Artículo 11, del 1 de marzo de 1990, para atener asuntos personales.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40" w:hanging="340"/>
        <w:jc w:val="both"/>
        <w:rPr/>
      </w:pPr>
      <w:r w:rsidDel="00000000" w:rsidR="00000000" w:rsidRPr="00000000">
        <w:rPr>
          <w:i w:val="0"/>
          <w:sz w:val="22"/>
          <w:szCs w:val="22"/>
          <w:vertAlign w:val="baseline"/>
          <w:rtl w:val="0"/>
        </w:rPr>
        <w:t xml:space="preserve">El MSc. Eugenio Trejos B., Presidente del Consejo Institucional, solicita el nombramiento de Ing. Carlos Mata Montero, Director de Cooperación de la Vicerrectoría de Investigación y Extensión,  durante el período comprendido del 18 al 27 diciembre del 2004, período en que el titular de este cargo estará ocupando el cargo de Rector en forma interina.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985"/>
        </w:tabs>
        <w:contextualSpacing w:val="0"/>
        <w:jc w:val="both"/>
      </w:pPr>
      <w:r w:rsidDel="00000000" w:rsidR="00000000" w:rsidRPr="00000000">
        <w:rPr>
          <w:b w:val="1"/>
          <w:i w:val="0"/>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i w:val="0"/>
          <w:sz w:val="22"/>
          <w:szCs w:val="22"/>
          <w:vertAlign w:val="baseline"/>
          <w:rtl w:val="0"/>
        </w:rPr>
        <w:t xml:space="preserve">Ratificar el nombramiento del Ing. Carlos Mata Montero, como Vicerrector de Investigación y Extensión, en forma interina, del 18 al 27 de diciembre del 2004, período en que el titular estará ocupando el cargo de Rector interino. </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i w:val="0"/>
          <w:sz w:val="22"/>
          <w:szCs w:val="22"/>
          <w:vertAlign w:val="baseline"/>
          <w:rtl w:val="0"/>
        </w:rPr>
        <w:t xml:space="preserve">Comunicar.  </w:t>
      </w:r>
      <w:r w:rsidDel="00000000" w:rsidR="00000000" w:rsidRPr="00000000">
        <w:rPr>
          <w:b w:val="1"/>
          <w:i w:val="0"/>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Unidad de Estudios y Remuneraciones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tl w:val="0"/>
        </w:rPr>
      </w:r>
    </w:p>
    <w:sectPr>
      <w:headerReference r:id="rId5" w:type="first"/>
      <w:pgSz w:h="15842" w:w="12242"/>
      <w:pgMar w:bottom="899" w:top="539"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40" w:firstLine="0"/>
      </w:pPr>
      <w:rPr>
        <w:rFonts w:ascii="Arial" w:cs="Arial" w:eastAsia="Arial" w:hAnsi="Arial"/>
        <w:b w:val="1"/>
        <w:i w:val="0"/>
        <w:smallCaps w:val="0"/>
        <w:strike w:val="0"/>
        <w:sz w:val="22"/>
        <w:szCs w:val="22"/>
        <w:vertAlign w:val="baseline"/>
      </w:rPr>
    </w:lvl>
    <w:lvl w:ilvl="1">
      <w:start w:val="1"/>
      <w:numFmt w:val="lowerLetter"/>
      <w:lvlText w:val="%2."/>
      <w:lvlJc w:val="left"/>
      <w:pPr>
        <w:ind w:left="73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2">
    <w:lvl w:ilvl="0">
      <w:start w:val="1"/>
      <w:numFmt w:val="lowerLetter"/>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