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SCI-053-2006</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02 de febrero del 2006</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Dr. Luis Gerardo Meza Cascante, Vicerrector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William Vives B., Vicerrector de Vida Estudiantil y Servicios Académicos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Ing. Giannina Ortiz Quesada, Directora de la Escuela Ingeniería en Construcción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Lic. Edgar López Ramírez, Director del Departamento de Admisión y Registro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2450, Artículo 17, del 02 de febrero del 2006.  Ampliación de plazo para estudiantes de Bachillerato en Ingeniería en Construcción, correspondiente al Plan 505</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la Sesión 2429, celebrada el 11 de agosto del 2005, aprobó la ampliación de la vigencia de los Planes de Transición 505, 507, 508, de la Carrera de Ingeniería en Construcción en los siguientes términos:</w:t>
      </w:r>
      <w:r w:rsidDel="00000000" w:rsidR="00000000" w:rsidRPr="00000000">
        <w:rPr>
          <w:rtl w:val="0"/>
        </w:rPr>
      </w:r>
    </w:p>
    <w:p w:rsidR="00000000" w:rsidDel="00000000" w:rsidP="00000000" w:rsidRDefault="00000000" w:rsidRPr="00000000">
      <w:pPr>
        <w:numPr>
          <w:ilvl w:val="0"/>
          <w:numId w:val="2"/>
        </w:numPr>
        <w:spacing w:after="120" w:before="120" w:lineRule="auto"/>
        <w:ind w:left="900" w:right="639" w:hanging="540"/>
        <w:jc w:val="both"/>
        <w:rPr>
          <w:sz w:val="18"/>
          <w:szCs w:val="18"/>
        </w:rPr>
      </w:pPr>
      <w:r w:rsidDel="00000000" w:rsidR="00000000" w:rsidRPr="00000000">
        <w:rPr>
          <w:rFonts w:ascii="Arial" w:cs="Arial" w:eastAsia="Arial" w:hAnsi="Arial"/>
          <w:i w:val="1"/>
          <w:sz w:val="18"/>
          <w:szCs w:val="18"/>
          <w:vertAlign w:val="baseline"/>
          <w:rtl w:val="0"/>
        </w:rPr>
        <w:t xml:space="preserve">Aprobar la ampliación de la vigencia de los Planes de Transición 505, 507 y 508, de la Escuela de Ingeniería en Construcción, en los siguientes términos:</w:t>
      </w:r>
      <w:r w:rsidDel="00000000" w:rsidR="00000000" w:rsidRPr="00000000">
        <w:rPr>
          <w:rtl w:val="0"/>
        </w:rPr>
      </w:r>
    </w:p>
    <w:tbl>
      <w:tblPr>
        <w:tblStyle w:val="Table2"/>
        <w:bidi w:val="0"/>
        <w:tblW w:w="6543.0" w:type="dxa"/>
        <w:jc w:val="left"/>
        <w:tblInd w:w="108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39"/>
        <w:gridCol w:w="1732"/>
        <w:gridCol w:w="1800"/>
        <w:gridCol w:w="1972"/>
        <w:tblGridChange w:id="0">
          <w:tblGrid>
            <w:gridCol w:w="1039"/>
            <w:gridCol w:w="1732"/>
            <w:gridCol w:w="1800"/>
            <w:gridCol w:w="197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2"/>
                <w:szCs w:val="22"/>
                <w:vertAlign w:val="baseline"/>
                <w:rtl w:val="0"/>
              </w:rPr>
              <w:t xml:space="preserve">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2"/>
                <w:szCs w:val="22"/>
                <w:vertAlign w:val="baseline"/>
                <w:rtl w:val="0"/>
              </w:rPr>
              <w:t xml:space="preserve">Carné de </w:t>
            </w:r>
            <w:r w:rsidDel="00000000" w:rsidR="00000000" w:rsidRPr="00000000">
              <w:rPr>
                <w:rtl w:val="0"/>
              </w:rPr>
            </w:r>
          </w:p>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2"/>
                <w:szCs w:val="22"/>
                <w:vertAlign w:val="baseline"/>
                <w:rtl w:val="0"/>
              </w:rPr>
              <w:t xml:space="preserve">ingreso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2"/>
                <w:szCs w:val="22"/>
                <w:vertAlign w:val="baseline"/>
                <w:rtl w:val="0"/>
              </w:rPr>
              <w:t xml:space="preserve">Fecha ideal de </w:t>
            </w:r>
            <w:r w:rsidDel="00000000" w:rsidR="00000000" w:rsidRPr="00000000">
              <w:rPr>
                <w:rtl w:val="0"/>
              </w:rPr>
            </w:r>
          </w:p>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2"/>
                <w:szCs w:val="22"/>
                <w:vertAlign w:val="baseline"/>
                <w:rtl w:val="0"/>
              </w:rPr>
              <w:t xml:space="preserve">conclusión de estudios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2"/>
                <w:szCs w:val="22"/>
                <w:vertAlign w:val="baseline"/>
                <w:rtl w:val="0"/>
              </w:rPr>
              <w:t xml:space="preserve">Fecha finalización </w:t>
            </w:r>
            <w:r w:rsidDel="00000000" w:rsidR="00000000" w:rsidRPr="00000000">
              <w:rPr>
                <w:rtl w:val="0"/>
              </w:rPr>
            </w:r>
          </w:p>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b w:val="1"/>
                <w:i w:val="1"/>
                <w:sz w:val="22"/>
                <w:szCs w:val="22"/>
                <w:vertAlign w:val="baseline"/>
                <w:rtl w:val="0"/>
              </w:rPr>
              <w:t xml:space="preserve">de plan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505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1999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2002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082"/>
              </w:tabs>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2005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507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2000 y 2001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2004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082"/>
              </w:tabs>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2007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508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2002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2005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082"/>
              </w:tabs>
              <w:ind w:left="360" w:right="138" w:hanging="360"/>
              <w:contextualSpacing w:val="0"/>
              <w:jc w:val="center"/>
            </w:pPr>
            <w:r w:rsidDel="00000000" w:rsidR="00000000" w:rsidRPr="00000000">
              <w:rPr>
                <w:rFonts w:ascii="Arial" w:cs="Arial" w:eastAsia="Arial" w:hAnsi="Arial"/>
                <w:i w:val="1"/>
                <w:sz w:val="22"/>
                <w:szCs w:val="22"/>
                <w:vertAlign w:val="baseline"/>
                <w:rtl w:val="0"/>
              </w:rPr>
              <w:t xml:space="preserve">2008</w:t>
            </w:r>
            <w:r w:rsidDel="00000000" w:rsidR="00000000" w:rsidRPr="00000000">
              <w:rPr>
                <w:rtl w:val="0"/>
              </w:rPr>
            </w:r>
          </w:p>
        </w:tc>
      </w:tr>
    </w:tbl>
    <w:p w:rsidR="00000000" w:rsidDel="00000000" w:rsidP="00000000" w:rsidRDefault="00000000" w:rsidRPr="00000000">
      <w:pPr>
        <w:spacing w:before="120" w:lineRule="auto"/>
        <w:ind w:left="1260" w:right="639" w:hanging="360"/>
        <w:contextualSpacing w:val="0"/>
        <w:jc w:val="both"/>
      </w:pPr>
      <w:r w:rsidDel="00000000" w:rsidR="00000000" w:rsidRPr="00000000">
        <w:rPr>
          <w:rFonts w:ascii="Arial" w:cs="Arial" w:eastAsia="Arial" w:hAnsi="Arial"/>
          <w:i w:val="1"/>
          <w:sz w:val="18"/>
          <w:szCs w:val="18"/>
          <w:vertAlign w:val="baseline"/>
          <w:rtl w:val="0"/>
        </w:rPr>
        <w:t xml:space="preserve">a.1</w:t>
        <w:tab/>
        <w:t xml:space="preserve">Estudiantes carné 1999 o inferior podrán graduarse del plan 505 hasta finalizar el período lectivo 2005.  En caso de que los estudiantes no logren graduarse pasarán el plan de transición 507 el cual finalizará en el 2007.</w:t>
      </w:r>
      <w:r w:rsidDel="00000000" w:rsidR="00000000" w:rsidRPr="00000000">
        <w:rPr>
          <w:rtl w:val="0"/>
        </w:rPr>
      </w:r>
    </w:p>
    <w:p w:rsidR="00000000" w:rsidDel="00000000" w:rsidP="00000000" w:rsidRDefault="00000000" w:rsidRPr="00000000">
      <w:pPr>
        <w:spacing w:before="120" w:lineRule="auto"/>
        <w:ind w:left="1260" w:right="748" w:hanging="360"/>
        <w:contextualSpacing w:val="0"/>
        <w:jc w:val="both"/>
      </w:pPr>
      <w:r w:rsidDel="00000000" w:rsidR="00000000" w:rsidRPr="00000000">
        <w:rPr>
          <w:rFonts w:ascii="Arial" w:cs="Arial" w:eastAsia="Arial" w:hAnsi="Arial"/>
          <w:i w:val="1"/>
          <w:sz w:val="18"/>
          <w:szCs w:val="18"/>
          <w:vertAlign w:val="baseline"/>
          <w:rtl w:val="0"/>
        </w:rPr>
        <w:t xml:space="preserve">a.2 Estudiantes carné 2000 y 2001 podrán graduarse en el plan 507 hasta finalizar el período lectivo 2007. </w:t>
      </w:r>
      <w:r w:rsidDel="00000000" w:rsidR="00000000" w:rsidRPr="00000000">
        <w:rPr>
          <w:rtl w:val="0"/>
        </w:rPr>
      </w:r>
    </w:p>
    <w:p w:rsidR="00000000" w:rsidDel="00000000" w:rsidP="00000000" w:rsidRDefault="00000000" w:rsidRPr="00000000">
      <w:pPr>
        <w:spacing w:before="120" w:lineRule="auto"/>
        <w:ind w:left="1260" w:right="748" w:hanging="360"/>
        <w:contextualSpacing w:val="0"/>
        <w:jc w:val="both"/>
      </w:pPr>
      <w:r w:rsidDel="00000000" w:rsidR="00000000" w:rsidRPr="00000000">
        <w:rPr>
          <w:rFonts w:ascii="Arial" w:cs="Arial" w:eastAsia="Arial" w:hAnsi="Arial"/>
          <w:i w:val="1"/>
          <w:sz w:val="18"/>
          <w:szCs w:val="18"/>
          <w:vertAlign w:val="baseline"/>
          <w:rtl w:val="0"/>
        </w:rPr>
        <w:t xml:space="preserve">a.3 Estudiantes carné 2002 podrán graduarse en el plan 508 hasta finalizar el período lectivo 2008.</w:t>
      </w:r>
      <w:r w:rsidDel="00000000" w:rsidR="00000000" w:rsidRPr="00000000">
        <w:rPr>
          <w:rtl w:val="0"/>
        </w:rPr>
      </w:r>
    </w:p>
    <w:p w:rsidR="00000000" w:rsidDel="00000000" w:rsidP="00000000" w:rsidRDefault="00000000" w:rsidRPr="00000000">
      <w:pPr>
        <w:spacing w:before="120" w:lineRule="auto"/>
        <w:ind w:left="1260" w:right="748" w:hanging="360"/>
        <w:contextualSpacing w:val="0"/>
        <w:jc w:val="both"/>
      </w:pPr>
      <w:r w:rsidDel="00000000" w:rsidR="00000000" w:rsidRPr="00000000">
        <w:rPr>
          <w:rFonts w:ascii="Arial" w:cs="Arial" w:eastAsia="Arial" w:hAnsi="Arial"/>
          <w:i w:val="1"/>
          <w:sz w:val="18"/>
          <w:szCs w:val="18"/>
          <w:vertAlign w:val="baseline"/>
          <w:rtl w:val="0"/>
        </w:rPr>
        <w:t xml:space="preserve">a.4 En caso de que los estudiantes no logren graduarse en los períodos establecidos deberán pasarse al plan vigente de la Carrera de Ingeniería en Construcción en ese momento.”</w:t>
      </w:r>
      <w:r w:rsidDel="00000000" w:rsidR="00000000" w:rsidRPr="00000000">
        <w:rPr>
          <w:rtl w:val="0"/>
        </w:rPr>
      </w:r>
    </w:p>
    <w:p w:rsidR="00000000" w:rsidDel="00000000" w:rsidP="00000000" w:rsidRDefault="00000000" w:rsidRPr="00000000">
      <w:pPr>
        <w:spacing w:before="120" w:lineRule="auto"/>
        <w:ind w:left="1260" w:right="748"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de Escuela de Ingeniería en Construcción, presenta propuesta y solicita al Consejo Institucional, que se le permita a estudiantes del Plan 507, que estuvieron matriculados en el Plan 505, graduarse en el Plan 505 al finalizar el I Semestre del 2006 y que cumplan con los requisitos de este Plan.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2450, Artículo 17, del 02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Ambos planes (tanto el 505 como el 507) son a nivel de bachillerato y ninguno de los dos está acreditado.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Que los estudiantes del Plan 505 que deben pocas materias para concluir su plan han manifestado su interés de terminar sus estudios en el menor plazo posible y han solicitado se les brinde esta oportunidad.</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analizó la solicitud, en la reunión No. 132, celebrada el 27 de enero del 2006, en conjunto con la Directora de la Escuela de Ingeniería en Construcción, por lo que se dispone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Que es interés del Consejo Institucional respetar las políticas académicas de las Escuelas y a la vez lograr que los estudiantes, de acuerdo con el esfuerzo y rendimiento mostrado, puedan concluir sus estudios en el menor plazo posible.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Autorizar al Consejo de Escuela de Ingeniería en Construcción, para que permita a estudiantes del Plan 507 y que estuvieron matriculados en el Plan 505, graduarse en el Plan 505 si al finalizar el I Semestre del 2006 cumplen con los requisitos de este Plan.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Comunicar al Consejo de Escuela de Ingeniería en Construcción y al Departamento de Admisión y Registro, que este acuerdo solamente regirá para la graduación correspondiente al I Semestre 2006.</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rPr>
          <w:trHeight w:val="260" w:hRule="atLeast"/>
        </w:trPr>
        <w:tc>
          <w:tcPr/>
          <w:p w:rsidR="00000000" w:rsidDel="00000000" w:rsidP="00000000" w:rsidRDefault="00000000" w:rsidRPr="00000000">
            <w:pPr>
              <w:keepNext w:val="1"/>
              <w:spacing w:after="60" w:before="0" w:line="240" w:lineRule="auto"/>
              <w:contextualSpacing w:val="0"/>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60" w:before="0" w:line="240" w:lineRule="auto"/>
              <w:contextualSpacing w:val="0"/>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1361" w:top="1361" w:left="1361" w:right="1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40" w:firstLine="1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395" w:firstLine="1035"/>
      </w:pPr>
      <w:rPr>
        <w:rFonts w:ascii="Arial" w:cs="Arial" w:eastAsia="Arial" w:hAnsi="Arial"/>
        <w:b w:val="1"/>
        <w:i w:val="0"/>
        <w:vertAlign w:val="baseline"/>
      </w:rPr>
    </w:lvl>
    <w:lvl w:ilvl="1">
      <w:start w:val="1"/>
      <w:numFmt w:val="lowerLetter"/>
      <w:lvlText w:val="%2."/>
      <w:lvlJc w:val="left"/>
      <w:pPr>
        <w:ind w:left="2145" w:firstLine="1785"/>
      </w:pPr>
      <w:rPr>
        <w:vertAlign w:val="baseline"/>
      </w:rPr>
    </w:lvl>
    <w:lvl w:ilvl="2">
      <w:start w:val="1"/>
      <w:numFmt w:val="lowerRoman"/>
      <w:lvlText w:val="%3."/>
      <w:lvlJc w:val="right"/>
      <w:pPr>
        <w:ind w:left="2865" w:firstLine="2685"/>
      </w:pPr>
      <w:rPr>
        <w:vertAlign w:val="baseline"/>
      </w:rPr>
    </w:lvl>
    <w:lvl w:ilvl="3">
      <w:start w:val="1"/>
      <w:numFmt w:val="decimal"/>
      <w:lvlText w:val="%4."/>
      <w:lvlJc w:val="left"/>
      <w:pPr>
        <w:ind w:left="3585" w:firstLine="3225"/>
      </w:pPr>
      <w:rPr>
        <w:vertAlign w:val="baseline"/>
      </w:rPr>
    </w:lvl>
    <w:lvl w:ilvl="4">
      <w:start w:val="1"/>
      <w:numFmt w:val="lowerLetter"/>
      <w:lvlText w:val="%5."/>
      <w:lvlJc w:val="left"/>
      <w:pPr>
        <w:ind w:left="4305" w:firstLine="3945"/>
      </w:pPr>
      <w:rPr>
        <w:vertAlign w:val="baseline"/>
      </w:rPr>
    </w:lvl>
    <w:lvl w:ilvl="5">
      <w:start w:val="1"/>
      <w:numFmt w:val="lowerRoman"/>
      <w:lvlText w:val="%6."/>
      <w:lvlJc w:val="right"/>
      <w:pPr>
        <w:ind w:left="5025" w:firstLine="4845"/>
      </w:pPr>
      <w:rPr>
        <w:vertAlign w:val="baseline"/>
      </w:rPr>
    </w:lvl>
    <w:lvl w:ilvl="6">
      <w:start w:val="1"/>
      <w:numFmt w:val="decimal"/>
      <w:lvlText w:val="%7."/>
      <w:lvlJc w:val="left"/>
      <w:pPr>
        <w:ind w:left="5745" w:firstLine="5385"/>
      </w:pPr>
      <w:rPr>
        <w:vertAlign w:val="baseline"/>
      </w:rPr>
    </w:lvl>
    <w:lvl w:ilvl="7">
      <w:start w:val="1"/>
      <w:numFmt w:val="lowerLetter"/>
      <w:lvlText w:val="%8."/>
      <w:lvlJc w:val="left"/>
      <w:pPr>
        <w:ind w:left="6465" w:firstLine="6105"/>
      </w:pPr>
      <w:rPr>
        <w:vertAlign w:val="baseline"/>
      </w:rPr>
    </w:lvl>
    <w:lvl w:ilvl="8">
      <w:start w:val="1"/>
      <w:numFmt w:val="lowerRoman"/>
      <w:lvlText w:val="%9."/>
      <w:lvlJc w:val="right"/>
      <w:pPr>
        <w:ind w:left="7185" w:firstLine="7005"/>
      </w:pPr>
      <w:rPr>
        <w:vertAlign w:val="baseline"/>
      </w:rPr>
    </w:lvl>
  </w:abstractNum>
  <w:abstractNum w:abstractNumId="3">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