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SCI-099-2006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23 de febrero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310.0" w:type="dxa"/>
        <w:jc w:val="left"/>
        <w:tblInd w:w="-70.0" w:type="dxa"/>
        <w:tblLayout w:type="fixed"/>
        <w:tblLook w:val="0000"/>
      </w:tblPr>
      <w:tblGrid>
        <w:gridCol w:w="1150"/>
        <w:gridCol w:w="8160"/>
        <w:tblGridChange w:id="0">
          <w:tblGrid>
            <w:gridCol w:w="1150"/>
            <w:gridCol w:w="8160"/>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Dr. Luis Gerardo Meza C., Presidente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Gabriela Carballo Ch., Secretaria Ejecutiva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2453, Artículo 8, del 23 de febrero del 2006.  Autorización de Gastos de Viaje al Exterior, para las personas funcionarias que participarán en Cursos y Seminarios en el Exterior, según el detalle presentado por el Comité de Becas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color w:val="000000"/>
          <w:sz w:val="22"/>
          <w:szCs w:val="22"/>
        </w:rPr>
      </w:pPr>
      <w:r w:rsidDel="00000000" w:rsidR="00000000" w:rsidRPr="00000000">
        <w:rPr>
          <w:i w:val="0"/>
          <w:color w:val="000000"/>
          <w:sz w:val="22"/>
          <w:szCs w:val="22"/>
          <w:vertAlign w:val="baseline"/>
          <w:rtl w:val="0"/>
        </w:rPr>
        <w:t xml:space="preserve">El Reglamento de Gastos de Viaje y de Transporte para Funcionarios Públicos en el Reglamento de Gastos de Viaje y de Transporte para Funcionarios Públicos, en su Artículo 31, señala: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i w:val="0"/>
          <w:sz w:val="20"/>
          <w:szCs w:val="20"/>
          <w:vertAlign w:val="baseline"/>
          <w:rtl w:val="0"/>
        </w:rPr>
        <w:t xml:space="preserve">“</w:t>
      </w:r>
      <w:r w:rsidDel="00000000" w:rsidR="00000000" w:rsidRPr="00000000">
        <w:rPr>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tabs>
          <w:tab w:val="left" w:pos="1620"/>
        </w:tabs>
        <w:ind w:left="360" w:firstLine="0"/>
        <w:contextualSpacing w:val="0"/>
        <w:jc w:val="both"/>
      </w:pPr>
      <w:r w:rsidDel="00000000" w:rsidR="00000000" w:rsidRPr="00000000">
        <w:rPr>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sz w:val="22"/>
          <w:szCs w:val="22"/>
        </w:rPr>
      </w:pPr>
      <w:r w:rsidDel="00000000" w:rsidR="00000000" w:rsidRPr="00000000">
        <w:rPr>
          <w:i w:val="0"/>
          <w:color w:val="000000"/>
          <w:sz w:val="22"/>
          <w:szCs w:val="22"/>
          <w:vertAlign w:val="baseline"/>
          <w:rtl w:val="0"/>
        </w:rPr>
        <w:t xml:space="preserve">La Secretaría del Consejo Institucional con fecha 21 de febrero del 2006, recibió memorando PB-086-2006,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CB-004-06, celebrada el 16 de febrero del 2006, para ocho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ACUERDA</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Autorizar </w:t>
      </w:r>
      <w:r w:rsidDel="00000000" w:rsidR="00000000" w:rsidRPr="00000000">
        <w:rPr>
          <w:i w:val="0"/>
          <w:sz w:val="22"/>
          <w:szCs w:val="22"/>
          <w:vertAlign w:val="baseline"/>
          <w:rtl w:val="0"/>
        </w:rPr>
        <w:t xml:space="preserve">los gastos de viaje al exterior, para ocho personas funcionarias que asistirán a cursos y seminarios en el exterior, avalados por el Comité de Becas, en la Sesión Ordinaria CB-004-06</w:t>
      </w:r>
      <w:r w:rsidDel="00000000" w:rsidR="00000000" w:rsidRPr="00000000">
        <w:rPr>
          <w:i w:val="0"/>
          <w:color w:val="000000"/>
          <w:sz w:val="22"/>
          <w:szCs w:val="22"/>
          <w:vertAlign w:val="baseline"/>
          <w:rtl w:val="0"/>
        </w:rPr>
        <w:t xml:space="preserve">, celebrada el 16 de febrero del 2006, por un monto total de $6.045.80,</w:t>
      </w:r>
      <w:r w:rsidDel="00000000" w:rsidR="00000000" w:rsidRPr="00000000">
        <w:rPr>
          <w:i w:val="0"/>
          <w:sz w:val="22"/>
          <w:szCs w:val="22"/>
          <w:vertAlign w:val="baseline"/>
          <w:rtl w:val="0"/>
        </w:rPr>
        <w:t xml:space="preserve"> según el siguiente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2453, Artículo 8, del 23 de febrero del 2006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015.0" w:type="dxa"/>
        <w:jc w:val="left"/>
        <w:tblInd w:w="-15.0" w:type="dxa"/>
        <w:tblLayout w:type="fixed"/>
        <w:tblLook w:val="0000"/>
      </w:tblPr>
      <w:tblGrid>
        <w:gridCol w:w="975"/>
        <w:gridCol w:w="840"/>
        <w:gridCol w:w="960"/>
        <w:gridCol w:w="1200"/>
        <w:gridCol w:w="720"/>
        <w:gridCol w:w="1320"/>
        <w:gridCol w:w="1800"/>
        <w:gridCol w:w="1200"/>
        <w:tblGridChange w:id="0">
          <w:tblGrid>
            <w:gridCol w:w="975"/>
            <w:gridCol w:w="840"/>
            <w:gridCol w:w="960"/>
            <w:gridCol w:w="1200"/>
            <w:gridCol w:w="720"/>
            <w:gridCol w:w="1320"/>
            <w:gridCol w:w="1800"/>
            <w:gridCol w:w="120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AVALADOS EN LA SESIÓN ORDINARIA CB-004-06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0"/>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b w:val="1"/>
                <w:i w:val="0"/>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b w:val="1"/>
                <w:i w:val="0"/>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AVALADO POR  COMITÉ BECAS SESION ORDINARIA CB-004-06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vertAlign w:val="baseline"/>
                <w:rtl w:val="0"/>
              </w:rPr>
              <w:t xml:space="preserve">REALIZADA EL 16/02/06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BENEFICIOS ADICIONALES Y OTROS OTORGADOS POR OTRA ENTIDAD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Máster Johnny Jiménez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Cultura 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Copenhague,</w:t>
            </w:r>
            <w:r w:rsidDel="00000000" w:rsidR="00000000" w:rsidRPr="00000000">
              <w:rPr>
                <w:rtl w:val="0"/>
              </w:rPr>
            </w:r>
          </w:p>
          <w:p w:rsidR="00000000" w:rsidDel="00000000" w:rsidP="00000000" w:rsidRDefault="00000000" w:rsidRPr="00000000">
            <w:pPr>
              <w:contextualSpacing w:val="0"/>
            </w:pPr>
            <w:r w:rsidDel="00000000" w:rsidR="00000000" w:rsidRPr="00000000">
              <w:rPr>
                <w:i w:val="0"/>
                <w:vertAlign w:val="baseline"/>
                <w:rtl w:val="0"/>
              </w:rPr>
              <w:t xml:space="preserve">Dinamarca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22/07 al 4/08/06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Intercambio Europa.  Torneo de Dinamarca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Hospedaje y Alimentación  $500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$500</w:t>
            </w:r>
            <w:r w:rsidDel="00000000" w:rsidR="00000000" w:rsidRPr="00000000">
              <w:rPr>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Máster Alfredo Aguilar Calderón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Dirección de Sede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Madrid, Valencia,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02 al 23/04/06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teórico práctico del Modelo Español de las Agencias de Desarrollo Económico Local y los Límites y alcances de su réplica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Alimentación  $300</w:t>
            </w:r>
            <w:r w:rsidDel="00000000" w:rsidR="00000000" w:rsidRPr="00000000">
              <w:rPr>
                <w:rtl w:val="0"/>
              </w:rPr>
            </w:r>
          </w:p>
          <w:p w:rsidR="00000000" w:rsidDel="00000000" w:rsidP="00000000" w:rsidRDefault="00000000" w:rsidRPr="00000000">
            <w:pPr>
              <w:contextualSpacing w:val="0"/>
            </w:pPr>
            <w:r w:rsidDel="00000000" w:rsidR="00000000" w:rsidRPr="00000000">
              <w:rPr>
                <w:i w:val="0"/>
                <w:vertAlign w:val="baseline"/>
                <w:rtl w:val="0"/>
              </w:rPr>
              <w:t xml:space="preserve">Hospedaje $600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$900</w:t>
            </w:r>
            <w:r w:rsidDel="00000000" w:rsidR="00000000" w:rsidRPr="00000000">
              <w:rPr>
                <w:i w:val="0"/>
                <w:vertAlign w:val="baseline"/>
                <w:rtl w:val="0"/>
              </w:rPr>
              <w:t xml:space="preserve">                  </w:t>
            </w:r>
            <w:r w:rsidDel="00000000" w:rsidR="00000000" w:rsidRPr="00000000">
              <w:rPr>
                <w:b w:val="1"/>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Máster José Alberto Díaz García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 Electrónica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Mar del Plata, Argentina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 al 10/03/06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SPL 2006 II Southem Conference on Programmable Logic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$1125.80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$1125.80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MSc. Marvin Villalobos Araya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20 al 24/03/06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de formación de formadores 2006-INIA-AECI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$400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$400</w:t>
            </w:r>
            <w:r w:rsidDel="00000000" w:rsidR="00000000" w:rsidRPr="00000000">
              <w:rPr>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MSc. Cristian Zúñiga Pereira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20 al 24/03/06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de formación de formadores 2006-INIA-AECI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$400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$400</w:t>
            </w:r>
            <w:r w:rsidDel="00000000" w:rsidR="00000000" w:rsidRPr="00000000">
              <w:rPr>
                <w:i w:val="0"/>
                <w:vertAlign w:val="baseline"/>
                <w:rtl w:val="0"/>
              </w:rPr>
              <w:t xml:space="preserve">                </w:t>
            </w:r>
            <w:r w:rsidDel="00000000" w:rsidR="00000000" w:rsidRPr="00000000">
              <w:rPr>
                <w:b w:val="1"/>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Máster Roberto Cortés Morales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Analista de Sistemas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Madrid,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20/03 al 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Apertura de capacitación CIT Universidad de Alcalá de Henares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$800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$800</w:t>
            </w:r>
            <w:r w:rsidDel="00000000" w:rsidR="00000000" w:rsidRPr="00000000">
              <w:rPr>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Bach. Alba Arce Mena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Analista de Información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Madrid,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20/03 al 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Apertura de capacitación CIT Universidad de Alcalá de Henares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$800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$800</w:t>
            </w:r>
            <w:r w:rsidDel="00000000" w:rsidR="00000000" w:rsidRPr="00000000">
              <w:rPr>
                <w:i w:val="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Lic. Elías Rosales Escalante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CIVCO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15 al 23/03/06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IV Foro Mundial del 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$450</w:t>
            </w:r>
            <w:r w:rsidDel="00000000" w:rsidR="00000000" w:rsidRPr="00000000">
              <w:rPr>
                <w:rtl w:val="0"/>
              </w:rPr>
            </w:r>
          </w:p>
          <w:p w:rsidR="00000000" w:rsidDel="00000000" w:rsidP="00000000" w:rsidRDefault="00000000" w:rsidRPr="00000000">
            <w:pPr>
              <w:contextualSpacing w:val="0"/>
            </w:pPr>
            <w:r w:rsidDel="00000000" w:rsidR="00000000" w:rsidRPr="00000000">
              <w:rPr>
                <w:i w:val="0"/>
                <w:vertAlign w:val="baseline"/>
                <w:rtl w:val="0"/>
              </w:rPr>
              <w:t xml:space="preserve">Hospedaje y Alimentación $675</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$1125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$6.050.80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b w:val="1"/>
          <w:i w:val="0"/>
          <w:sz w:val="18"/>
          <w:szCs w:val="18"/>
          <w:vertAlign w:val="baseline"/>
          <w:rtl w:val="0"/>
        </w:rPr>
        <w:t xml:space="preserve">NOTA:</w:t>
      </w:r>
      <w:r w:rsidDel="00000000" w:rsidR="00000000" w:rsidRPr="00000000">
        <w:rPr>
          <w:i w:val="0"/>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5" w:type="default"/>
          <w:headerReference r:id="rId6" w:type="first"/>
          <w:pgSz w:h="15842" w:w="12242"/>
          <w:pgMar w:bottom="1701" w:top="1701" w:left="1701" w:right="1701"/>
          <w:pgNumType w:start="1"/>
          <w:titlePg w:val="1"/>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2453, Artículo 8, del 23 de febrero del 2006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Comunicar.  </w:t>
      </w:r>
      <w:r w:rsidDel="00000000" w:rsidR="00000000" w:rsidRPr="00000000">
        <w:rPr>
          <w:b w:val="1"/>
          <w:i w:val="0"/>
          <w:color w:val="000000"/>
          <w:sz w:val="22"/>
          <w:szCs w:val="22"/>
          <w:vertAlign w:val="baseline"/>
          <w:rtl w:val="0"/>
        </w:rPr>
        <w:t xml:space="preserve">ACUERDO FIRME</w:t>
      </w:r>
      <w:r w:rsidDel="00000000" w:rsidR="00000000" w:rsidRPr="00000000">
        <w:rPr>
          <w:i w:val="0"/>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 </w:t>
      </w:r>
      <w:r w:rsidDel="00000000" w:rsidR="00000000" w:rsidRPr="00000000">
        <w:rPr>
          <w:i w:val="0"/>
          <w:vertAlign w:val="baseline"/>
          <w:rtl w:val="0"/>
        </w:rPr>
        <w:t xml:space="preserve">BSS/mma</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type w:val="continuous"/>
      <w:pgSz w:h="15842" w:w="12242"/>
      <w:pgMar w:bottom="1701" w:top="1701" w:left="1701" w:right="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41975" cy="123825"/>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641975" cy="12382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