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SCI-165-2006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23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Walter Sequeira Fallas, Director del Departamento de Aprovisionamiento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Saúl Fernández E., Director de la Oficina de Ingeniería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2457, Artículo 11, del 23 de marzo del 2006.  Licitación Pública No. 06-2005 “Construcción de Edificio de Aulas y Cubículos para Ciencias del Lenguaje, Sede Central”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Secretaría del Consejo Institucional con fecha 03 de marzo del 2006, recibió el oficio V.AD-120-2006, suscrito por el MBA. José Rafael Hidalgo, Vicerrector de Administración, dirigido al MBA. Rafael Gutiérrez Brenes, Coordinador de la Comisión de Planificación y Administración, en el cual se adjunta el Informe de Licitación Pública No. 06-2005 “Construcción de Edificio de Aulas y Cubículos para Ciencias del Lenguaje, Sede Central”.  Recomienda que con base en los resultados del estudio realizado y con sustento en el apartado de “Criterios y Sistemas de Evaluación” del cartel, se adjudique esta licitación a la Empresa AP Constructora.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Asimismo, adjunta copia del oficio AL-086-06, suscrito por el Lic. Carlos Segnini, Director de la Asesoría Legal, dirigido al MBA. José Rafael Hidalgo, Vicerrector de Administración, en el cual informa que revisado el Informe de la Licitación Pública No. 06-2005 “Construcción de Edificios de Aulas y Cubículos para Ciencias del Lenguaje”, el mismo cuenta con el dictamen afirmativo de esa Oficina.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03 de marzo del 2006, según consta en la Minuta No. 153-06, analizó el Informe de la Licitación Pública No. 06-2005 “Construcción de Edificio de Aulas y Cubículos para Ciencias del Lenguaje”, y solicita el Informe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Secretaría del Consejo Institucional con fecha 15 de marzo del 2006, recibió el oficio AUDI-055-2006, suscrito por el Lic. Isidro Álvarez Salazar, Auditor Interno, dirigido al Ing. Rafael Gutiérrez, Coordinador de la Comisión de Planificación y Administración, en el cual remite el Informe de la Licitación Pública No. 06-2005 “Construcción de Edificio de Aulas y Cubículos para Ciencias del Lenguaje, Sede Central,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2457, Artículo 11, del 23 de marzo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El Informe fue revisado en la reunión de la Comisión de Planificación y Administración, celebrada el 17 de marzo del 2006, según consta en la minuta No. 155-06, en la cual estuvieron presentes las siguientes personas:  el MBA. José Rafael Hidalgo Rojas, Vicerrector de Administración, Ing. Saúl Fernández, Director de la Oficina de Ingeniería, Ing. Edwin Pérez Alvarado, funcionario de la Oficina de Ingeniería, Lic. Isidro Álvarez, Auditor Interno, Lic. Walter Sequeira, Director de Aprovisionamiento, Licda. Cecilia Meza, encargada de Licitaciones quienes intercambiaron discrepancias y algunos criterios en relación con las observaciones anotadas en el Informe presentado por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Secretaría del Consejo Institucional con fecha 17 de marzo del 2006, recibió copia del oficio OI-101-06, suscrito por el Ing. Saúl Fernández E., Director de la Oficina de Ingeniería, dirigido al MBA. José Rafael Hidalgo Rojas, Vicerrector de Administración, en el que se refiere a las observaciones hechas por la Auditoría Interna, sobre algunos aspectos técnicos de la Licitación, así como el papel de la Oficina de Ingeniería, en relación con el tema, con el objetivo de que el informe sirva como insumo al Consejo en la toma de decisión.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sz w:val="22"/>
          <w:szCs w:val="22"/>
          <w:vertAlign w:val="baseline"/>
          <w:rtl w:val="0"/>
        </w:rPr>
        <w:t xml:space="preserve">Adjudicar la Licitación Pública No. 06-2005 “Construcción de Edificio de Aulas y Cubículos para Ciencias del Lenguaje, Sede Central, Cartago” a la Empresa AP Constructora, cédula jurídica número 3-101-088171, por un monto de $567 000,00 y por el plazo de 225 días calendario.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sz w:val="22"/>
          <w:szCs w:val="22"/>
          <w:vertAlign w:val="baseline"/>
          <w:rtl w:val="0"/>
        </w:rPr>
        <w:t xml:space="preserve">Solicitar a la Administración que se incorporen las recomendaciones que se consideren pertinentes emitidas por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sz w:val="22"/>
          <w:szCs w:val="22"/>
          <w:vertAlign w:val="baseline"/>
          <w:rtl w:val="0"/>
        </w:rPr>
        <w:t xml:space="preserve">  Este acuerdo fue objeto de revisión presenta en la Sesión Ordinaria No. 2458 del 30 de marzo del 2006 y obtuvo firmeza en la Sesión Ordinaria Permanente No. 2459 del 06 de abril del 2006, con modificaciones en virtud del Recurso de Revisión presentado.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Unidad de Análisis Financiero y Presupuesto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Escuela de Ciencias del Lenguaje</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2">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